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ab/>
        <w:t xml:space="preserve"> </w:t>
        <w:tab/>
        <w:t xml:space="preserve"> </w:t>
        <w:tab/>
        <w:t xml:space="preserve"> </w:t>
        <w:tab/>
      </w:r>
    </w:p>
    <w:p w:rsidR="00000000" w:rsidDel="00000000" w:rsidP="00000000" w:rsidRDefault="00000000" w:rsidRPr="00000000" w14:paraId="00000002">
      <w:pPr>
        <w:spacing w:after="280" w:before="240" w:line="240" w:lineRule="auto"/>
        <w:jc w:val="center"/>
        <w:rPr>
          <w:b w:val="1"/>
          <w:sz w:val="28"/>
          <w:szCs w:val="28"/>
        </w:rPr>
      </w:pPr>
      <w:r w:rsidDel="00000000" w:rsidR="00000000" w:rsidRPr="00000000">
        <w:rPr>
          <w:b w:val="1"/>
          <w:sz w:val="28"/>
          <w:szCs w:val="28"/>
          <w:rtl w:val="0"/>
        </w:rPr>
        <w:t xml:space="preserve">Copy number variation analysis identifies distinct genomic features in adult Burkitt lymphoma</w:t>
      </w:r>
    </w:p>
    <w:p w:rsidR="00000000" w:rsidDel="00000000" w:rsidP="00000000" w:rsidRDefault="00000000" w:rsidRPr="00000000" w14:paraId="00000003">
      <w:pPr>
        <w:spacing w:after="280" w:before="240" w:line="240" w:lineRule="auto"/>
        <w:rPr>
          <w:sz w:val="28"/>
          <w:szCs w:val="28"/>
          <w:vertAlign w:val="superscript"/>
        </w:rPr>
      </w:pPr>
      <w:r w:rsidDel="00000000" w:rsidR="00000000" w:rsidRPr="00000000">
        <w:rPr>
          <w:sz w:val="28"/>
          <w:szCs w:val="28"/>
          <w:rtl w:val="0"/>
        </w:rPr>
        <w:t xml:space="preserve">Kostiantyn Dreval</w:t>
      </w:r>
      <w:r w:rsidDel="00000000" w:rsidR="00000000" w:rsidRPr="00000000">
        <w:rPr>
          <w:sz w:val="28"/>
          <w:szCs w:val="28"/>
          <w:vertAlign w:val="superscript"/>
          <w:rtl w:val="0"/>
        </w:rPr>
        <w:t xml:space="preserve">1</w:t>
      </w:r>
      <w:r w:rsidDel="00000000" w:rsidR="00000000" w:rsidRPr="00000000">
        <w:rPr>
          <w:sz w:val="28"/>
          <w:szCs w:val="28"/>
          <w:rtl w:val="0"/>
        </w:rPr>
        <w:t xml:space="preserve">, Nicole Thomas</w:t>
      </w:r>
      <w:r w:rsidDel="00000000" w:rsidR="00000000" w:rsidRPr="00000000">
        <w:rPr>
          <w:sz w:val="28"/>
          <w:szCs w:val="28"/>
          <w:vertAlign w:val="superscript"/>
          <w:rtl w:val="0"/>
        </w:rPr>
        <w:t xml:space="preserve">1</w:t>
      </w:r>
      <w:r w:rsidDel="00000000" w:rsidR="00000000" w:rsidRPr="00000000">
        <w:rPr>
          <w:sz w:val="28"/>
          <w:szCs w:val="28"/>
          <w:rtl w:val="0"/>
        </w:rPr>
        <w:t xml:space="preserve">, Daniela S. Gerhard</w:t>
      </w:r>
      <w:r w:rsidDel="00000000" w:rsidR="00000000" w:rsidRPr="00000000">
        <w:rPr>
          <w:sz w:val="28"/>
          <w:szCs w:val="28"/>
          <w:vertAlign w:val="superscript"/>
          <w:rtl w:val="0"/>
        </w:rPr>
        <w:t xml:space="preserve">2</w:t>
      </w:r>
      <w:r w:rsidDel="00000000" w:rsidR="00000000" w:rsidRPr="00000000">
        <w:rPr>
          <w:sz w:val="28"/>
          <w:szCs w:val="28"/>
          <w:rtl w:val="0"/>
        </w:rPr>
        <w:t xml:space="preserve">, Laura K. Hilton</w:t>
      </w:r>
      <w:r w:rsidDel="00000000" w:rsidR="00000000" w:rsidRPr="00000000">
        <w:rPr>
          <w:sz w:val="28"/>
          <w:szCs w:val="28"/>
          <w:vertAlign w:val="superscript"/>
          <w:rtl w:val="0"/>
        </w:rPr>
        <w:t xml:space="preserve">3</w:t>
      </w:r>
      <w:r w:rsidDel="00000000" w:rsidR="00000000" w:rsidRPr="00000000">
        <w:rPr>
          <w:sz w:val="28"/>
          <w:szCs w:val="28"/>
          <w:rtl w:val="0"/>
        </w:rPr>
        <w:t xml:space="preserve">, Jasper Wong</w:t>
      </w:r>
      <w:r w:rsidDel="00000000" w:rsidR="00000000" w:rsidRPr="00000000">
        <w:rPr>
          <w:sz w:val="28"/>
          <w:szCs w:val="28"/>
          <w:vertAlign w:val="superscript"/>
          <w:rtl w:val="0"/>
        </w:rPr>
        <w:t xml:space="preserve">3</w:t>
      </w:r>
      <w:r w:rsidDel="00000000" w:rsidR="00000000" w:rsidRPr="00000000">
        <w:rPr>
          <w:sz w:val="28"/>
          <w:szCs w:val="28"/>
          <w:rtl w:val="0"/>
        </w:rPr>
        <w:t xml:space="preserve">, Jeremy S. Abramson</w:t>
      </w:r>
      <w:r w:rsidDel="00000000" w:rsidR="00000000" w:rsidRPr="00000000">
        <w:rPr>
          <w:sz w:val="28"/>
          <w:szCs w:val="28"/>
          <w:vertAlign w:val="superscript"/>
          <w:rtl w:val="0"/>
        </w:rPr>
        <w:t xml:space="preserve">4</w:t>
      </w:r>
      <w:r w:rsidDel="00000000" w:rsidR="00000000" w:rsidRPr="00000000">
        <w:rPr>
          <w:sz w:val="28"/>
          <w:szCs w:val="28"/>
          <w:rtl w:val="0"/>
        </w:rPr>
        <w:t xml:space="preserve">, Nancy L. Bartlett</w:t>
      </w:r>
      <w:r w:rsidDel="00000000" w:rsidR="00000000" w:rsidRPr="00000000">
        <w:rPr>
          <w:sz w:val="28"/>
          <w:szCs w:val="28"/>
          <w:vertAlign w:val="superscript"/>
          <w:rtl w:val="0"/>
        </w:rPr>
        <w:t xml:space="preserve">5</w:t>
      </w:r>
      <w:r w:rsidDel="00000000" w:rsidR="00000000" w:rsidRPr="00000000">
        <w:rPr>
          <w:sz w:val="28"/>
          <w:szCs w:val="28"/>
          <w:rtl w:val="0"/>
        </w:rPr>
        <w:t xml:space="preserve">, Jeffrey Bethony</w:t>
      </w:r>
      <w:r w:rsidDel="00000000" w:rsidR="00000000" w:rsidRPr="00000000">
        <w:rPr>
          <w:sz w:val="28"/>
          <w:szCs w:val="28"/>
          <w:vertAlign w:val="superscript"/>
          <w:rtl w:val="0"/>
        </w:rPr>
        <w:t xml:space="preserve">6</w:t>
      </w:r>
      <w:r w:rsidDel="00000000" w:rsidR="00000000" w:rsidRPr="00000000">
        <w:rPr>
          <w:sz w:val="28"/>
          <w:szCs w:val="28"/>
          <w:rtl w:val="0"/>
        </w:rPr>
        <w:t xml:space="preserve">, Jay Bowen</w:t>
      </w:r>
      <w:r w:rsidDel="00000000" w:rsidR="00000000" w:rsidRPr="00000000">
        <w:rPr>
          <w:sz w:val="28"/>
          <w:szCs w:val="28"/>
          <w:vertAlign w:val="superscript"/>
          <w:rtl w:val="0"/>
        </w:rPr>
        <w:t xml:space="preserve">7</w:t>
      </w:r>
      <w:r w:rsidDel="00000000" w:rsidR="00000000" w:rsidRPr="00000000">
        <w:rPr>
          <w:sz w:val="28"/>
          <w:szCs w:val="28"/>
          <w:rtl w:val="0"/>
        </w:rPr>
        <w:t xml:space="preserve">, Anthony C. Bryan</w:t>
      </w:r>
      <w:r w:rsidDel="00000000" w:rsidR="00000000" w:rsidRPr="00000000">
        <w:rPr>
          <w:sz w:val="28"/>
          <w:szCs w:val="28"/>
          <w:vertAlign w:val="superscript"/>
          <w:rtl w:val="0"/>
        </w:rPr>
        <w:t xml:space="preserve">7</w:t>
      </w:r>
      <w:r w:rsidDel="00000000" w:rsidR="00000000" w:rsidRPr="00000000">
        <w:rPr>
          <w:sz w:val="28"/>
          <w:szCs w:val="28"/>
          <w:rtl w:val="0"/>
        </w:rPr>
        <w:t xml:space="preserve">, Corey Casper</w:t>
      </w:r>
      <w:r w:rsidDel="00000000" w:rsidR="00000000" w:rsidRPr="00000000">
        <w:rPr>
          <w:sz w:val="28"/>
          <w:szCs w:val="28"/>
          <w:vertAlign w:val="superscript"/>
          <w:rtl w:val="0"/>
        </w:rPr>
        <w:t xml:space="preserve">8</w:t>
      </w:r>
      <w:r w:rsidDel="00000000" w:rsidR="00000000" w:rsidRPr="00000000">
        <w:rPr>
          <w:sz w:val="28"/>
          <w:szCs w:val="28"/>
          <w:rtl w:val="0"/>
        </w:rPr>
        <w:t xml:space="preserve">, Maureen Dyer</w:t>
      </w:r>
      <w:r w:rsidDel="00000000" w:rsidR="00000000" w:rsidRPr="00000000">
        <w:rPr>
          <w:sz w:val="28"/>
          <w:szCs w:val="28"/>
          <w:vertAlign w:val="superscript"/>
          <w:rtl w:val="0"/>
        </w:rPr>
        <w:t xml:space="preserve">9</w:t>
      </w:r>
      <w:r w:rsidDel="00000000" w:rsidR="00000000" w:rsidRPr="00000000">
        <w:rPr>
          <w:sz w:val="28"/>
          <w:szCs w:val="28"/>
          <w:rtl w:val="0"/>
        </w:rPr>
        <w:t xml:space="preserve">, Julie M. Gastier-Foster</w:t>
      </w:r>
      <w:r w:rsidDel="00000000" w:rsidR="00000000" w:rsidRPr="00000000">
        <w:rPr>
          <w:sz w:val="28"/>
          <w:szCs w:val="28"/>
          <w:vertAlign w:val="superscript"/>
          <w:rtl w:val="0"/>
        </w:rPr>
        <w:t xml:space="preserve">7,10</w:t>
      </w:r>
      <w:r w:rsidDel="00000000" w:rsidR="00000000" w:rsidRPr="00000000">
        <w:rPr>
          <w:sz w:val="28"/>
          <w:szCs w:val="28"/>
          <w:rtl w:val="0"/>
        </w:rPr>
        <w:t xml:space="preserve">, Bruno M. Grande</w:t>
      </w:r>
      <w:r w:rsidDel="00000000" w:rsidR="00000000" w:rsidRPr="00000000">
        <w:rPr>
          <w:sz w:val="28"/>
          <w:szCs w:val="28"/>
          <w:vertAlign w:val="superscript"/>
          <w:rtl w:val="0"/>
        </w:rPr>
        <w:t xml:space="preserve">11</w:t>
      </w:r>
      <w:r w:rsidDel="00000000" w:rsidR="00000000" w:rsidRPr="00000000">
        <w:rPr>
          <w:sz w:val="28"/>
          <w:szCs w:val="28"/>
          <w:rtl w:val="0"/>
        </w:rPr>
        <w:t xml:space="preserve">, Timothy Greiner</w:t>
      </w:r>
      <w:r w:rsidDel="00000000" w:rsidR="00000000" w:rsidRPr="00000000">
        <w:rPr>
          <w:sz w:val="28"/>
          <w:szCs w:val="28"/>
          <w:vertAlign w:val="superscript"/>
          <w:rtl w:val="0"/>
        </w:rPr>
        <w:t xml:space="preserve">12</w:t>
      </w:r>
      <w:r w:rsidDel="00000000" w:rsidR="00000000" w:rsidRPr="00000000">
        <w:rPr>
          <w:sz w:val="28"/>
          <w:szCs w:val="28"/>
          <w:rtl w:val="0"/>
        </w:rPr>
        <w:t xml:space="preserve">, Nicholas B. Griner</w:t>
      </w:r>
      <w:r w:rsidDel="00000000" w:rsidR="00000000" w:rsidRPr="00000000">
        <w:rPr>
          <w:sz w:val="28"/>
          <w:szCs w:val="28"/>
          <w:vertAlign w:val="superscript"/>
          <w:rtl w:val="0"/>
        </w:rPr>
        <w:t xml:space="preserve">2</w:t>
      </w:r>
      <w:r w:rsidDel="00000000" w:rsidR="00000000" w:rsidRPr="00000000">
        <w:rPr>
          <w:sz w:val="28"/>
          <w:szCs w:val="28"/>
          <w:rtl w:val="0"/>
        </w:rPr>
        <w:t xml:space="preserve">, Thomas G. Gross</w:t>
      </w:r>
      <w:r w:rsidDel="00000000" w:rsidR="00000000" w:rsidRPr="00000000">
        <w:rPr>
          <w:sz w:val="28"/>
          <w:szCs w:val="28"/>
          <w:vertAlign w:val="superscript"/>
          <w:rtl w:val="0"/>
        </w:rPr>
        <w:t xml:space="preserve">13</w:t>
      </w:r>
      <w:r w:rsidDel="00000000" w:rsidR="00000000" w:rsidRPr="00000000">
        <w:rPr>
          <w:sz w:val="28"/>
          <w:szCs w:val="28"/>
          <w:rtl w:val="0"/>
        </w:rPr>
        <w:t xml:space="preserve">, Nancy Lee Harris</w:t>
      </w:r>
      <w:r w:rsidDel="00000000" w:rsidR="00000000" w:rsidRPr="00000000">
        <w:rPr>
          <w:sz w:val="28"/>
          <w:szCs w:val="28"/>
          <w:vertAlign w:val="superscript"/>
          <w:rtl w:val="0"/>
        </w:rPr>
        <w:t xml:space="preserve">14</w:t>
      </w:r>
      <w:r w:rsidDel="00000000" w:rsidR="00000000" w:rsidRPr="00000000">
        <w:rPr>
          <w:sz w:val="28"/>
          <w:szCs w:val="28"/>
          <w:rtl w:val="0"/>
        </w:rPr>
        <w:t xml:space="preserve">, John D. Irvin</w:t>
      </w:r>
      <w:r w:rsidDel="00000000" w:rsidR="00000000" w:rsidRPr="00000000">
        <w:rPr>
          <w:sz w:val="28"/>
          <w:szCs w:val="28"/>
          <w:vertAlign w:val="superscript"/>
          <w:rtl w:val="0"/>
        </w:rPr>
        <w:t xml:space="preserve">15</w:t>
      </w:r>
      <w:r w:rsidDel="00000000" w:rsidR="00000000" w:rsidRPr="00000000">
        <w:rPr>
          <w:sz w:val="28"/>
          <w:szCs w:val="28"/>
          <w:rtl w:val="0"/>
        </w:rPr>
        <w:t xml:space="preserve">, Elaine Jaffe</w:t>
      </w:r>
      <w:r w:rsidDel="00000000" w:rsidR="00000000" w:rsidRPr="00000000">
        <w:rPr>
          <w:sz w:val="28"/>
          <w:szCs w:val="28"/>
          <w:vertAlign w:val="superscript"/>
          <w:rtl w:val="0"/>
        </w:rPr>
        <w:t xml:space="preserve">16</w:t>
      </w:r>
      <w:r w:rsidDel="00000000" w:rsidR="00000000" w:rsidRPr="00000000">
        <w:rPr>
          <w:sz w:val="28"/>
          <w:szCs w:val="28"/>
          <w:rtl w:val="0"/>
        </w:rPr>
        <w:t xml:space="preserve">, Fabio Leal</w:t>
      </w:r>
      <w:r w:rsidDel="00000000" w:rsidR="00000000" w:rsidRPr="00000000">
        <w:rPr>
          <w:sz w:val="28"/>
          <w:szCs w:val="28"/>
          <w:vertAlign w:val="superscript"/>
          <w:rtl w:val="0"/>
        </w:rPr>
        <w:t xml:space="preserve">17</w:t>
      </w:r>
      <w:r w:rsidDel="00000000" w:rsidR="00000000" w:rsidRPr="00000000">
        <w:rPr>
          <w:sz w:val="28"/>
          <w:szCs w:val="28"/>
          <w:rtl w:val="0"/>
        </w:rPr>
        <w:t xml:space="preserve">, Jean Paul Martin</w:t>
      </w:r>
      <w:r w:rsidDel="00000000" w:rsidR="00000000" w:rsidRPr="00000000">
        <w:rPr>
          <w:sz w:val="28"/>
          <w:szCs w:val="28"/>
          <w:vertAlign w:val="superscript"/>
          <w:rtl w:val="0"/>
        </w:rPr>
        <w:t xml:space="preserve">15</w:t>
      </w:r>
      <w:r w:rsidDel="00000000" w:rsidR="00000000" w:rsidRPr="00000000">
        <w:rPr>
          <w:sz w:val="28"/>
          <w:szCs w:val="28"/>
          <w:rtl w:val="0"/>
        </w:rPr>
        <w:t xml:space="preserve">, Marie-Reine Martin</w:t>
      </w:r>
      <w:r w:rsidDel="00000000" w:rsidR="00000000" w:rsidRPr="00000000">
        <w:rPr>
          <w:sz w:val="28"/>
          <w:szCs w:val="28"/>
          <w:vertAlign w:val="superscript"/>
          <w:rtl w:val="0"/>
        </w:rPr>
        <w:t xml:space="preserve">15</w:t>
      </w:r>
      <w:r w:rsidDel="00000000" w:rsidR="00000000" w:rsidRPr="00000000">
        <w:rPr>
          <w:sz w:val="28"/>
          <w:szCs w:val="28"/>
          <w:rtl w:val="0"/>
        </w:rPr>
        <w:t xml:space="preserve">, Sam M. Mbulaiteye</w:t>
      </w:r>
      <w:r w:rsidDel="00000000" w:rsidR="00000000" w:rsidRPr="00000000">
        <w:rPr>
          <w:sz w:val="28"/>
          <w:szCs w:val="28"/>
          <w:vertAlign w:val="superscript"/>
          <w:rtl w:val="0"/>
        </w:rPr>
        <w:t xml:space="preserve">18</w:t>
      </w:r>
      <w:r w:rsidDel="00000000" w:rsidR="00000000" w:rsidRPr="00000000">
        <w:rPr>
          <w:sz w:val="28"/>
          <w:szCs w:val="28"/>
          <w:rtl w:val="0"/>
        </w:rPr>
        <w:t xml:space="preserve">, Charles G. Mullighan</w:t>
      </w:r>
      <w:r w:rsidDel="00000000" w:rsidR="00000000" w:rsidRPr="00000000">
        <w:rPr>
          <w:sz w:val="28"/>
          <w:szCs w:val="28"/>
          <w:vertAlign w:val="superscript"/>
          <w:rtl w:val="0"/>
        </w:rPr>
        <w:t xml:space="preserve">19</w:t>
      </w:r>
      <w:r w:rsidDel="00000000" w:rsidR="00000000" w:rsidRPr="00000000">
        <w:rPr>
          <w:sz w:val="28"/>
          <w:szCs w:val="28"/>
          <w:rtl w:val="0"/>
        </w:rPr>
        <w:t xml:space="preserve">, Andrew J. Mungall</w:t>
      </w:r>
      <w:r w:rsidDel="00000000" w:rsidR="00000000" w:rsidRPr="00000000">
        <w:rPr>
          <w:sz w:val="28"/>
          <w:szCs w:val="28"/>
          <w:vertAlign w:val="superscript"/>
          <w:rtl w:val="0"/>
        </w:rPr>
        <w:t xml:space="preserve">20</w:t>
      </w:r>
      <w:r w:rsidDel="00000000" w:rsidR="00000000" w:rsidRPr="00000000">
        <w:rPr>
          <w:sz w:val="28"/>
          <w:szCs w:val="28"/>
          <w:rtl w:val="0"/>
        </w:rPr>
        <w:t xml:space="preserve">, Karen Mungall</w:t>
      </w:r>
      <w:r w:rsidDel="00000000" w:rsidR="00000000" w:rsidRPr="00000000">
        <w:rPr>
          <w:sz w:val="28"/>
          <w:szCs w:val="28"/>
          <w:vertAlign w:val="superscript"/>
          <w:rtl w:val="0"/>
        </w:rPr>
        <w:t xml:space="preserve">20</w:t>
      </w:r>
      <w:r w:rsidDel="00000000" w:rsidR="00000000" w:rsidRPr="00000000">
        <w:rPr>
          <w:sz w:val="28"/>
          <w:szCs w:val="28"/>
          <w:rtl w:val="0"/>
        </w:rPr>
        <w:t xml:space="preserve">, Constance Namirembe</w:t>
      </w:r>
      <w:r w:rsidDel="00000000" w:rsidR="00000000" w:rsidRPr="00000000">
        <w:rPr>
          <w:sz w:val="28"/>
          <w:szCs w:val="28"/>
          <w:vertAlign w:val="superscript"/>
          <w:rtl w:val="0"/>
        </w:rPr>
        <w:t xml:space="preserve">21</w:t>
      </w:r>
      <w:r w:rsidDel="00000000" w:rsidR="00000000" w:rsidRPr="00000000">
        <w:rPr>
          <w:sz w:val="28"/>
          <w:szCs w:val="28"/>
          <w:rtl w:val="0"/>
        </w:rPr>
        <w:t xml:space="preserve">, Ariela Noy</w:t>
      </w:r>
      <w:r w:rsidDel="00000000" w:rsidR="00000000" w:rsidRPr="00000000">
        <w:rPr>
          <w:sz w:val="28"/>
          <w:szCs w:val="28"/>
          <w:vertAlign w:val="superscript"/>
          <w:rtl w:val="0"/>
        </w:rPr>
        <w:t xml:space="preserve">22</w:t>
      </w:r>
      <w:r w:rsidDel="00000000" w:rsidR="00000000" w:rsidRPr="00000000">
        <w:rPr>
          <w:sz w:val="28"/>
          <w:szCs w:val="28"/>
          <w:rtl w:val="0"/>
        </w:rPr>
        <w:t xml:space="preserve">, Martin D. Ogwang</w:t>
      </w:r>
      <w:r w:rsidDel="00000000" w:rsidR="00000000" w:rsidRPr="00000000">
        <w:rPr>
          <w:sz w:val="28"/>
          <w:szCs w:val="28"/>
          <w:vertAlign w:val="superscript"/>
          <w:rtl w:val="0"/>
        </w:rPr>
        <w:t xml:space="preserve">23</w:t>
      </w:r>
      <w:r w:rsidDel="00000000" w:rsidR="00000000" w:rsidRPr="00000000">
        <w:rPr>
          <w:sz w:val="28"/>
          <w:szCs w:val="28"/>
          <w:rtl w:val="0"/>
        </w:rPr>
        <w:t xml:space="preserve">, Jackson Orem</w:t>
      </w:r>
      <w:r w:rsidDel="00000000" w:rsidR="00000000" w:rsidRPr="00000000">
        <w:rPr>
          <w:sz w:val="28"/>
          <w:szCs w:val="28"/>
          <w:vertAlign w:val="superscript"/>
          <w:rtl w:val="0"/>
        </w:rPr>
        <w:t xml:space="preserve">21</w:t>
      </w:r>
      <w:r w:rsidDel="00000000" w:rsidR="00000000" w:rsidRPr="00000000">
        <w:rPr>
          <w:sz w:val="28"/>
          <w:szCs w:val="28"/>
          <w:rtl w:val="0"/>
        </w:rPr>
        <w:t xml:space="preserve">, Hilary Petrello</w:t>
      </w:r>
      <w:r w:rsidDel="00000000" w:rsidR="00000000" w:rsidRPr="00000000">
        <w:rPr>
          <w:sz w:val="28"/>
          <w:szCs w:val="28"/>
          <w:vertAlign w:val="superscript"/>
          <w:rtl w:val="0"/>
        </w:rPr>
        <w:t xml:space="preserve">7</w:t>
      </w:r>
      <w:r w:rsidDel="00000000" w:rsidR="00000000" w:rsidRPr="00000000">
        <w:rPr>
          <w:sz w:val="28"/>
          <w:szCs w:val="28"/>
          <w:rtl w:val="0"/>
        </w:rPr>
        <w:t xml:space="preserve">, Steven J. Reynolds</w:t>
      </w:r>
      <w:r w:rsidDel="00000000" w:rsidR="00000000" w:rsidRPr="00000000">
        <w:rPr>
          <w:sz w:val="28"/>
          <w:szCs w:val="28"/>
          <w:vertAlign w:val="superscript"/>
          <w:rtl w:val="0"/>
        </w:rPr>
        <w:t xml:space="preserve">24</w:t>
      </w:r>
      <w:r w:rsidDel="00000000" w:rsidR="00000000" w:rsidRPr="00000000">
        <w:rPr>
          <w:sz w:val="28"/>
          <w:szCs w:val="28"/>
          <w:rtl w:val="0"/>
        </w:rPr>
        <w:t xml:space="preserve">, Steven H. Swerdlow</w:t>
      </w:r>
      <w:r w:rsidDel="00000000" w:rsidR="00000000" w:rsidRPr="00000000">
        <w:rPr>
          <w:sz w:val="28"/>
          <w:szCs w:val="28"/>
          <w:vertAlign w:val="superscript"/>
          <w:rtl w:val="0"/>
        </w:rPr>
        <w:t xml:space="preserve">25</w:t>
      </w:r>
      <w:r w:rsidDel="00000000" w:rsidR="00000000" w:rsidRPr="00000000">
        <w:rPr>
          <w:sz w:val="28"/>
          <w:szCs w:val="28"/>
          <w:rtl w:val="0"/>
        </w:rPr>
        <w:t xml:space="preserve">, Alexandra Traverse-Glehen</w:t>
      </w:r>
      <w:r w:rsidDel="00000000" w:rsidR="00000000" w:rsidRPr="00000000">
        <w:rPr>
          <w:sz w:val="28"/>
          <w:szCs w:val="28"/>
          <w:vertAlign w:val="superscript"/>
          <w:rtl w:val="0"/>
        </w:rPr>
        <w:t xml:space="preserve">26</w:t>
      </w:r>
      <w:r w:rsidDel="00000000" w:rsidR="00000000" w:rsidRPr="00000000">
        <w:rPr>
          <w:sz w:val="28"/>
          <w:szCs w:val="28"/>
          <w:rtl w:val="0"/>
        </w:rPr>
        <w:t xml:space="preserve">, Wyndham H. Wilson</w:t>
      </w:r>
      <w:r w:rsidDel="00000000" w:rsidR="00000000" w:rsidRPr="00000000">
        <w:rPr>
          <w:sz w:val="28"/>
          <w:szCs w:val="28"/>
          <w:vertAlign w:val="superscript"/>
          <w:rtl w:val="0"/>
        </w:rPr>
        <w:t xml:space="preserve">27</w:t>
      </w:r>
      <w:r w:rsidDel="00000000" w:rsidR="00000000" w:rsidRPr="00000000">
        <w:rPr>
          <w:sz w:val="28"/>
          <w:szCs w:val="28"/>
          <w:rtl w:val="0"/>
        </w:rPr>
        <w:t xml:space="preserve">, Marco A. Marra</w:t>
      </w:r>
      <w:r w:rsidDel="00000000" w:rsidR="00000000" w:rsidRPr="00000000">
        <w:rPr>
          <w:sz w:val="28"/>
          <w:szCs w:val="28"/>
          <w:vertAlign w:val="superscript"/>
          <w:rtl w:val="0"/>
        </w:rPr>
        <w:t xml:space="preserve">20,28</w:t>
      </w:r>
      <w:r w:rsidDel="00000000" w:rsidR="00000000" w:rsidRPr="00000000">
        <w:rPr>
          <w:sz w:val="28"/>
          <w:szCs w:val="28"/>
          <w:rtl w:val="0"/>
        </w:rPr>
        <w:t xml:space="preserve">, Louis M. Staudt</w:t>
      </w:r>
      <w:r w:rsidDel="00000000" w:rsidR="00000000" w:rsidRPr="00000000">
        <w:rPr>
          <w:sz w:val="28"/>
          <w:szCs w:val="28"/>
          <w:vertAlign w:val="superscript"/>
          <w:rtl w:val="0"/>
        </w:rPr>
        <w:t xml:space="preserve">27</w:t>
      </w:r>
      <w:r w:rsidDel="00000000" w:rsidR="00000000" w:rsidRPr="00000000">
        <w:rPr>
          <w:sz w:val="28"/>
          <w:szCs w:val="28"/>
          <w:rtl w:val="0"/>
        </w:rPr>
        <w:t xml:space="preserve">, David W. Scott</w:t>
      </w:r>
      <w:r w:rsidDel="00000000" w:rsidR="00000000" w:rsidRPr="00000000">
        <w:rPr>
          <w:sz w:val="28"/>
          <w:szCs w:val="28"/>
          <w:vertAlign w:val="superscript"/>
          <w:rtl w:val="0"/>
        </w:rPr>
        <w:t xml:space="preserve">3</w:t>
      </w:r>
      <w:r w:rsidDel="00000000" w:rsidR="00000000" w:rsidRPr="00000000">
        <w:rPr>
          <w:sz w:val="28"/>
          <w:szCs w:val="28"/>
          <w:rtl w:val="0"/>
        </w:rPr>
        <w:t xml:space="preserve"> &amp; Ryan D. Morin</w:t>
      </w:r>
      <w:r w:rsidDel="00000000" w:rsidR="00000000" w:rsidRPr="00000000">
        <w:rPr>
          <w:sz w:val="28"/>
          <w:szCs w:val="28"/>
          <w:vertAlign w:val="superscript"/>
          <w:rtl w:val="0"/>
        </w:rPr>
        <w:t xml:space="preserve">1,20</w:t>
      </w: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vertAlign w:val="superscript"/>
          <w:rtl w:val="0"/>
        </w:rPr>
        <w:t xml:space="preserve">1</w:t>
      </w:r>
      <w:r w:rsidDel="00000000" w:rsidR="00000000" w:rsidRPr="00000000">
        <w:rPr>
          <w:sz w:val="28"/>
          <w:szCs w:val="28"/>
          <w:rtl w:val="0"/>
        </w:rPr>
        <w:t xml:space="preserve">Department of Molecular Biology and Biochemistry, Simon Fraser University, Burnaby, BC, Canada.</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vertAlign w:val="superscript"/>
          <w:rtl w:val="0"/>
        </w:rPr>
        <w:t xml:space="preserve">2</w:t>
      </w:r>
      <w:r w:rsidDel="00000000" w:rsidR="00000000" w:rsidRPr="00000000">
        <w:rPr>
          <w:sz w:val="28"/>
          <w:szCs w:val="28"/>
          <w:rtl w:val="0"/>
        </w:rPr>
        <w:t xml:space="preserve">Office of Cancer Genomics, National Cancer Institute, National Institutes of Health, Bethesda, MD, USA.</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vertAlign w:val="superscript"/>
          <w:rtl w:val="0"/>
        </w:rPr>
        <w:t xml:space="preserve">3</w:t>
      </w:r>
      <w:r w:rsidDel="00000000" w:rsidR="00000000" w:rsidRPr="00000000">
        <w:rPr>
          <w:sz w:val="28"/>
          <w:szCs w:val="28"/>
          <w:rtl w:val="0"/>
        </w:rPr>
        <w:t xml:space="preserve">Centre for Lymphoid Cancer, BC Cancer, Vancouver, BC, Canada.</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vertAlign w:val="superscript"/>
          <w:rtl w:val="0"/>
        </w:rPr>
        <w:t xml:space="preserve">4</w:t>
      </w:r>
      <w:r w:rsidDel="00000000" w:rsidR="00000000" w:rsidRPr="00000000">
        <w:rPr>
          <w:sz w:val="28"/>
          <w:szCs w:val="28"/>
          <w:rtl w:val="0"/>
        </w:rPr>
        <w:t xml:space="preserve">Center for Lymphoma, Massachusetts General Hospital, Harvard Medical School, Boston, MA, USA.</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vertAlign w:val="superscript"/>
          <w:rtl w:val="0"/>
        </w:rPr>
        <w:t xml:space="preserve">5</w:t>
      </w:r>
      <w:r w:rsidDel="00000000" w:rsidR="00000000" w:rsidRPr="00000000">
        <w:rPr>
          <w:sz w:val="28"/>
          <w:szCs w:val="28"/>
          <w:rtl w:val="0"/>
        </w:rPr>
        <w:t xml:space="preserve">Washington University School of Medicine, St. Louis, MO, USA.</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vertAlign w:val="superscript"/>
          <w:rtl w:val="0"/>
        </w:rPr>
        <w:t xml:space="preserve">6</w:t>
      </w:r>
      <w:r w:rsidDel="00000000" w:rsidR="00000000" w:rsidRPr="00000000">
        <w:rPr>
          <w:sz w:val="28"/>
          <w:szCs w:val="28"/>
          <w:rtl w:val="0"/>
        </w:rPr>
        <w:t xml:space="preserve">George Washington University, Washington, DC, USA.</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vertAlign w:val="superscript"/>
          <w:rtl w:val="0"/>
        </w:rPr>
        <w:t xml:space="preserve">7</w:t>
      </w:r>
      <w:r w:rsidDel="00000000" w:rsidR="00000000" w:rsidRPr="00000000">
        <w:rPr>
          <w:sz w:val="28"/>
          <w:szCs w:val="28"/>
          <w:rtl w:val="0"/>
        </w:rPr>
        <w:t xml:space="preserve">Biopathology Center, Nationwide Children's Hospital, Columbus, OH, USA.</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vertAlign w:val="superscript"/>
          <w:rtl w:val="0"/>
        </w:rPr>
        <w:t xml:space="preserve">8</w:t>
      </w:r>
      <w:r w:rsidDel="00000000" w:rsidR="00000000" w:rsidRPr="00000000">
        <w:rPr>
          <w:sz w:val="28"/>
          <w:szCs w:val="28"/>
          <w:rtl w:val="0"/>
        </w:rPr>
        <w:t xml:space="preserve">Infectious Disease Research Institute, Seattle, WA, USA.</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vertAlign w:val="superscript"/>
          <w:rtl w:val="0"/>
        </w:rPr>
        <w:t xml:space="preserve">9</w:t>
      </w:r>
      <w:r w:rsidDel="00000000" w:rsidR="00000000" w:rsidRPr="00000000">
        <w:rPr>
          <w:sz w:val="28"/>
          <w:szCs w:val="28"/>
          <w:rtl w:val="0"/>
        </w:rPr>
        <w:t xml:space="preserve">Clinical Research Directorate, Frederick National Laboratory for Cancer Research sponsored by the National Cancer Institute, Frederick, MD, USA.</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vertAlign w:val="superscript"/>
          <w:rtl w:val="0"/>
        </w:rPr>
        <w:t xml:space="preserve">10</w:t>
      </w:r>
      <w:r w:rsidDel="00000000" w:rsidR="00000000" w:rsidRPr="00000000">
        <w:rPr>
          <w:sz w:val="28"/>
          <w:szCs w:val="28"/>
          <w:rtl w:val="0"/>
        </w:rPr>
        <w:t xml:space="preserve">Departments of Pathology and Pediatrics, The Ohio State University, Columbus, OH, USA.</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vertAlign w:val="superscript"/>
          <w:rtl w:val="0"/>
        </w:rPr>
        <w:t xml:space="preserve">11</w:t>
      </w:r>
      <w:r w:rsidDel="00000000" w:rsidR="00000000" w:rsidRPr="00000000">
        <w:rPr>
          <w:sz w:val="28"/>
          <w:szCs w:val="28"/>
          <w:rtl w:val="0"/>
        </w:rPr>
        <w:t xml:space="preserve">Sage Bionetworks, Seattle, WA, USA.</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vertAlign w:val="superscript"/>
          <w:rtl w:val="0"/>
        </w:rPr>
        <w:t xml:space="preserve">12</w:t>
      </w:r>
      <w:r w:rsidDel="00000000" w:rsidR="00000000" w:rsidRPr="00000000">
        <w:rPr>
          <w:sz w:val="28"/>
          <w:szCs w:val="28"/>
          <w:rtl w:val="0"/>
        </w:rPr>
        <w:t xml:space="preserve">Department of Pathology and Microbiology, University of Nebraska Medical Center, Omaha, NE, USA.</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vertAlign w:val="superscript"/>
          <w:rtl w:val="0"/>
        </w:rPr>
        <w:t xml:space="preserve">13</w:t>
      </w:r>
      <w:r w:rsidDel="00000000" w:rsidR="00000000" w:rsidRPr="00000000">
        <w:rPr>
          <w:sz w:val="28"/>
          <w:szCs w:val="28"/>
          <w:rtl w:val="0"/>
        </w:rPr>
        <w:t xml:space="preserve">Center for Global Health, National Cancer Institute, National Institutes of Health, Rockville, MD, USA.</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vertAlign w:val="superscript"/>
          <w:rtl w:val="0"/>
        </w:rPr>
        <w:t xml:space="preserve">14</w:t>
      </w:r>
      <w:r w:rsidDel="00000000" w:rsidR="00000000" w:rsidRPr="00000000">
        <w:rPr>
          <w:sz w:val="28"/>
          <w:szCs w:val="28"/>
          <w:rtl w:val="0"/>
        </w:rPr>
        <w:t xml:space="preserve">Department of Pathology, Massachusetts General Hospital, Harvard Medical School, Boston, MA, USA.</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vertAlign w:val="superscript"/>
          <w:rtl w:val="0"/>
        </w:rPr>
        <w:t xml:space="preserve">15</w:t>
      </w:r>
      <w:r w:rsidDel="00000000" w:rsidR="00000000" w:rsidRPr="00000000">
        <w:rPr>
          <w:sz w:val="28"/>
          <w:szCs w:val="28"/>
          <w:rtl w:val="0"/>
        </w:rPr>
        <w:t xml:space="preserve">Foundation for Burkitt Lymphoma Research, Geneva, Switzerland.</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vertAlign w:val="superscript"/>
          <w:rtl w:val="0"/>
        </w:rPr>
        <w:t xml:space="preserve">16</w:t>
      </w:r>
      <w:r w:rsidDel="00000000" w:rsidR="00000000" w:rsidRPr="00000000">
        <w:rPr>
          <w:sz w:val="28"/>
          <w:szCs w:val="28"/>
          <w:rtl w:val="0"/>
        </w:rPr>
        <w:t xml:space="preserve">Laboratory of Pathology, Clinical Center, National Cancer Institute, National Institutes of Health, Bethesda, MD, USA.</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vertAlign w:val="superscript"/>
          <w:rtl w:val="0"/>
        </w:rPr>
        <w:t xml:space="preserve">17</w:t>
      </w:r>
      <w:r w:rsidDel="00000000" w:rsidR="00000000" w:rsidRPr="00000000">
        <w:rPr>
          <w:sz w:val="28"/>
          <w:szCs w:val="28"/>
          <w:rtl w:val="0"/>
        </w:rPr>
        <w:t xml:space="preserve">Programa de Oncovirologia, Instituto Nacional de Cancer Jose de Alencar, Rio de Janeiro, Brazil.</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sz w:val="28"/>
          <w:szCs w:val="28"/>
          <w:vertAlign w:val="superscript"/>
          <w:rtl w:val="0"/>
        </w:rPr>
        <w:t xml:space="preserve">18</w:t>
      </w:r>
      <w:r w:rsidDel="00000000" w:rsidR="00000000" w:rsidRPr="00000000">
        <w:rPr>
          <w:sz w:val="28"/>
          <w:szCs w:val="28"/>
          <w:rtl w:val="0"/>
        </w:rPr>
        <w:t xml:space="preserve">Division of Cancer Epidemiology and Genetics, National Cancer Institute, National Institutes of Health, Rockville, MD, USA.</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sz w:val="28"/>
          <w:szCs w:val="28"/>
        </w:rPr>
      </w:pPr>
      <w:r w:rsidDel="00000000" w:rsidR="00000000" w:rsidRPr="00000000">
        <w:rPr>
          <w:sz w:val="28"/>
          <w:szCs w:val="28"/>
          <w:vertAlign w:val="superscript"/>
          <w:rtl w:val="0"/>
        </w:rPr>
        <w:t xml:space="preserve">19</w:t>
      </w:r>
      <w:r w:rsidDel="00000000" w:rsidR="00000000" w:rsidRPr="00000000">
        <w:rPr>
          <w:sz w:val="28"/>
          <w:szCs w:val="28"/>
          <w:rtl w:val="0"/>
        </w:rPr>
        <w:t xml:space="preserve">Department of Pathology, St. Jude Children's Research Hospital, Memphis, TN, USA.</w:t>
      </w:r>
    </w:p>
    <w:p w:rsidR="00000000" w:rsidDel="00000000" w:rsidP="00000000" w:rsidRDefault="00000000" w:rsidRPr="00000000" w14:paraId="00000029">
      <w:pPr>
        <w:rPr>
          <w:sz w:val="28"/>
          <w:szCs w:val="28"/>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vertAlign w:val="superscript"/>
          <w:rtl w:val="0"/>
        </w:rPr>
        <w:t xml:space="preserve">20</w:t>
      </w:r>
      <w:r w:rsidDel="00000000" w:rsidR="00000000" w:rsidRPr="00000000">
        <w:rPr>
          <w:sz w:val="28"/>
          <w:szCs w:val="28"/>
          <w:rtl w:val="0"/>
        </w:rPr>
        <w:t xml:space="preserve">Canada's Michael Smith Genome Sciences Centre at BC Cancer, Vancouver, BC, Canada.</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rPr>
          <w:sz w:val="28"/>
          <w:szCs w:val="28"/>
        </w:rPr>
      </w:pPr>
      <w:r w:rsidDel="00000000" w:rsidR="00000000" w:rsidRPr="00000000">
        <w:rPr>
          <w:sz w:val="28"/>
          <w:szCs w:val="28"/>
          <w:vertAlign w:val="superscript"/>
          <w:rtl w:val="0"/>
        </w:rPr>
        <w:t xml:space="preserve">21</w:t>
      </w:r>
      <w:r w:rsidDel="00000000" w:rsidR="00000000" w:rsidRPr="00000000">
        <w:rPr>
          <w:sz w:val="28"/>
          <w:szCs w:val="28"/>
          <w:rtl w:val="0"/>
        </w:rPr>
        <w:t xml:space="preserve">Uganda Cancer Institute, Kampala, Uganda.</w:t>
      </w:r>
    </w:p>
    <w:p w:rsidR="00000000" w:rsidDel="00000000" w:rsidP="00000000" w:rsidRDefault="00000000" w:rsidRPr="00000000" w14:paraId="0000002D">
      <w:pPr>
        <w:rPr>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vertAlign w:val="superscript"/>
          <w:rtl w:val="0"/>
        </w:rPr>
        <w:t xml:space="preserve">22</w:t>
      </w:r>
      <w:r w:rsidDel="00000000" w:rsidR="00000000" w:rsidRPr="00000000">
        <w:rPr>
          <w:sz w:val="28"/>
          <w:szCs w:val="28"/>
          <w:rtl w:val="0"/>
        </w:rPr>
        <w:t xml:space="preserve">Memorial Sloan Kettering Cancer Center and Weill Cornell Medical College, New York, NY, USA.</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vertAlign w:val="superscript"/>
          <w:rtl w:val="0"/>
        </w:rPr>
        <w:t xml:space="preserve">23</w:t>
      </w:r>
      <w:r w:rsidDel="00000000" w:rsidR="00000000" w:rsidRPr="00000000">
        <w:rPr>
          <w:sz w:val="28"/>
          <w:szCs w:val="28"/>
          <w:rtl w:val="0"/>
        </w:rPr>
        <w:t xml:space="preserve">EMBLEM Study, St. Mary's Hospital Lacor, Gulu, Uganda.</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vertAlign w:val="superscript"/>
          <w:rtl w:val="0"/>
        </w:rPr>
        <w:t xml:space="preserve">24</w:t>
      </w:r>
      <w:r w:rsidDel="00000000" w:rsidR="00000000" w:rsidRPr="00000000">
        <w:rPr>
          <w:sz w:val="28"/>
          <w:szCs w:val="28"/>
          <w:rtl w:val="0"/>
        </w:rPr>
        <w:t xml:space="preserve">Division of Intramural Research, National Institute of Allergy and Infectious Diseases, National Institutes of Health, Bethesda, MD, USA.</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vertAlign w:val="superscript"/>
          <w:rtl w:val="0"/>
        </w:rPr>
        <w:t xml:space="preserve">25</w:t>
      </w:r>
      <w:r w:rsidDel="00000000" w:rsidR="00000000" w:rsidRPr="00000000">
        <w:rPr>
          <w:sz w:val="28"/>
          <w:szCs w:val="28"/>
          <w:rtl w:val="0"/>
        </w:rPr>
        <w:t xml:space="preserve">Division of Hematopathology, University of Pittsburgh School of Medicine Presbyterian, Pittsburgh, Pennsylvania, USA.</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vertAlign w:val="superscript"/>
          <w:rtl w:val="0"/>
        </w:rPr>
        <w:t xml:space="preserve">26</w:t>
      </w:r>
      <w:r w:rsidDel="00000000" w:rsidR="00000000" w:rsidRPr="00000000">
        <w:rPr>
          <w:sz w:val="28"/>
          <w:szCs w:val="28"/>
          <w:rtl w:val="0"/>
        </w:rPr>
        <w:t xml:space="preserve">Hospices Civils de Lyon, Université Lyon 1, Service d'Anatomie Pathologique, Hopital Lyon Sud France.</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vertAlign w:val="superscript"/>
          <w:rtl w:val="0"/>
        </w:rPr>
        <w:t xml:space="preserve">27</w:t>
      </w:r>
      <w:r w:rsidDel="00000000" w:rsidR="00000000" w:rsidRPr="00000000">
        <w:rPr>
          <w:sz w:val="28"/>
          <w:szCs w:val="28"/>
          <w:rtl w:val="0"/>
        </w:rPr>
        <w:t xml:space="preserve">Lymphoid Malignancies Branch, Center for Cancer Research, National Cancer Institute, Bethesda, MD, USA.</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vertAlign w:val="superscript"/>
          <w:rtl w:val="0"/>
        </w:rPr>
        <w:t xml:space="preserve">28</w:t>
      </w:r>
      <w:r w:rsidDel="00000000" w:rsidR="00000000" w:rsidRPr="00000000">
        <w:rPr>
          <w:sz w:val="28"/>
          <w:szCs w:val="28"/>
          <w:rtl w:val="0"/>
        </w:rPr>
        <w:t xml:space="preserve">Department of Medical Genetics, University of British Columbia, Vancouver, BC, Canada.</w:t>
      </w:r>
    </w:p>
    <w:p w:rsidR="00000000" w:rsidDel="00000000" w:rsidP="00000000" w:rsidRDefault="00000000" w:rsidRPr="00000000" w14:paraId="0000003B">
      <w:pPr>
        <w:spacing w:after="280" w:before="240" w:line="240" w:lineRule="auto"/>
        <w:rPr>
          <w:sz w:val="28"/>
          <w:szCs w:val="28"/>
        </w:rPr>
      </w:pPr>
      <w:r w:rsidDel="00000000" w:rsidR="00000000" w:rsidRPr="00000000">
        <w:rPr>
          <w:rtl w:val="0"/>
        </w:rPr>
      </w:r>
    </w:p>
    <w:p w:rsidR="00000000" w:rsidDel="00000000" w:rsidP="00000000" w:rsidRDefault="00000000" w:rsidRPr="00000000" w14:paraId="0000003C">
      <w:pPr>
        <w:spacing w:after="280" w:before="240" w:line="240" w:lineRule="auto"/>
        <w:rPr>
          <w:sz w:val="28"/>
          <w:szCs w:val="28"/>
        </w:rPr>
      </w:pPr>
      <w:r w:rsidDel="00000000" w:rsidR="00000000" w:rsidRPr="00000000">
        <w:rPr>
          <w:sz w:val="28"/>
          <w:szCs w:val="28"/>
          <w:u w:val="single"/>
          <w:rtl w:val="0"/>
        </w:rPr>
        <w:t xml:space="preserve">Introduction:</w:t>
      </w:r>
      <w:r w:rsidDel="00000000" w:rsidR="00000000" w:rsidRPr="00000000">
        <w:rPr>
          <w:sz w:val="28"/>
          <w:szCs w:val="28"/>
          <w:rtl w:val="0"/>
        </w:rPr>
        <w:t xml:space="preserve"> Burkitt lymphoma (BL) is an aggressive B-cell non-Hodgkin lymphoma that disproportionately affects populations in malaria-endemic regions. Although BL is curable, age is associated with inferior clinical outcomes in most series, but the genetic basis of response is unknown. Recent large efforts in the characterization of pediatric BL (pBL) showed key genomic aberrations underlying disease progression. However, these studies have not focused on structural abnormalities of a large number of adult BL (aBL). In this study, we aimed to identify age-specific genomic landscapes of copy number variations (CNV) in BL.</w:t>
      </w:r>
    </w:p>
    <w:p w:rsidR="00000000" w:rsidDel="00000000" w:rsidP="00000000" w:rsidRDefault="00000000" w:rsidRPr="00000000" w14:paraId="0000003D">
      <w:pPr>
        <w:spacing w:after="280" w:before="240" w:line="240" w:lineRule="auto"/>
        <w:rPr>
          <w:sz w:val="28"/>
          <w:szCs w:val="28"/>
          <w:u w:val="single"/>
        </w:rPr>
      </w:pPr>
      <w:r w:rsidDel="00000000" w:rsidR="00000000" w:rsidRPr="00000000">
        <w:rPr>
          <w:rtl w:val="0"/>
        </w:rPr>
      </w:r>
    </w:p>
    <w:p w:rsidR="00000000" w:rsidDel="00000000" w:rsidP="00000000" w:rsidRDefault="00000000" w:rsidRPr="00000000" w14:paraId="0000003E">
      <w:pPr>
        <w:spacing w:after="280" w:before="240" w:line="240" w:lineRule="auto"/>
        <w:rPr>
          <w:sz w:val="28"/>
          <w:szCs w:val="28"/>
        </w:rPr>
      </w:pPr>
      <w:r w:rsidDel="00000000" w:rsidR="00000000" w:rsidRPr="00000000">
        <w:rPr>
          <w:sz w:val="28"/>
          <w:szCs w:val="28"/>
          <w:u w:val="single"/>
          <w:rtl w:val="0"/>
        </w:rPr>
        <w:t xml:space="preserve">Methods:</w:t>
      </w:r>
      <w:r w:rsidDel="00000000" w:rsidR="00000000" w:rsidRPr="00000000">
        <w:rPr>
          <w:sz w:val="28"/>
          <w:szCs w:val="28"/>
          <w:rtl w:val="0"/>
        </w:rPr>
        <w:t xml:space="preserve"> Two cohorts comprising 124 pBL and 89 aBL patients, representing both EBV-positive and EBV-negative cases within BL Genomic Sequencing Project, were used in the study. Age cut-off between pBL and aBL was 20 years. In addition, genomes from 186 patients with diffuse large B-cell lymphomas (DLBCL) were included in our analysis for comparison. Somatic CNV were detected using Battenberg and ControlFREEC algorithms.</w:t>
      </w:r>
    </w:p>
    <w:p w:rsidR="00000000" w:rsidDel="00000000" w:rsidP="00000000" w:rsidRDefault="00000000" w:rsidRPr="00000000" w14:paraId="0000003F">
      <w:pPr>
        <w:spacing w:after="280" w:before="240" w:line="240" w:lineRule="auto"/>
        <w:rPr>
          <w:sz w:val="28"/>
          <w:szCs w:val="28"/>
          <w:u w:val="single"/>
        </w:rPr>
      </w:pPr>
      <w:r w:rsidDel="00000000" w:rsidR="00000000" w:rsidRPr="00000000">
        <w:rPr>
          <w:rtl w:val="0"/>
        </w:rPr>
      </w:r>
    </w:p>
    <w:p w:rsidR="00000000" w:rsidDel="00000000" w:rsidP="00000000" w:rsidRDefault="00000000" w:rsidRPr="00000000" w14:paraId="00000040">
      <w:pPr>
        <w:spacing w:after="280" w:before="240" w:line="240" w:lineRule="auto"/>
        <w:rPr>
          <w:sz w:val="28"/>
          <w:szCs w:val="28"/>
        </w:rPr>
      </w:pPr>
      <w:r w:rsidDel="00000000" w:rsidR="00000000" w:rsidRPr="00000000">
        <w:rPr>
          <w:sz w:val="28"/>
          <w:szCs w:val="28"/>
          <w:u w:val="single"/>
          <w:rtl w:val="0"/>
        </w:rPr>
        <w:t xml:space="preserve">Results:</w:t>
      </w:r>
      <w:r w:rsidDel="00000000" w:rsidR="00000000" w:rsidRPr="00000000">
        <w:rPr>
          <w:sz w:val="28"/>
          <w:szCs w:val="28"/>
          <w:rtl w:val="0"/>
        </w:rPr>
        <w:t xml:space="preserve"> In BL, the proportion of genome altered by CNV was significantly lower when compared with DLBCL. This difference can be attributed to the higher average length of CNV (P &lt; 0.0001) and frequency of whole-genome duplication (P &lt; 0.0001) in DLBCL. In aBL specifically, amplifications within long arms of chromosomes 7, 10, 11, 15, 16, 19, and 20, or deletions affecting the short arm of chromosome 9 were found at a higher frequency compared to pBL. The amplified regions uniquely altered among aBL included genes involved in the regulation of MYC function, such as </w:t>
      </w:r>
      <w:r w:rsidDel="00000000" w:rsidR="00000000" w:rsidRPr="00000000">
        <w:rPr>
          <w:i w:val="1"/>
          <w:sz w:val="28"/>
          <w:szCs w:val="28"/>
          <w:rtl w:val="0"/>
        </w:rPr>
        <w:t xml:space="preserve">KAT5</w:t>
      </w:r>
      <w:r w:rsidDel="00000000" w:rsidR="00000000" w:rsidRPr="00000000">
        <w:rPr>
          <w:sz w:val="28"/>
          <w:szCs w:val="28"/>
          <w:rtl w:val="0"/>
        </w:rPr>
        <w:t xml:space="preserve">, </w:t>
      </w:r>
      <w:r w:rsidDel="00000000" w:rsidR="00000000" w:rsidRPr="00000000">
        <w:rPr>
          <w:i w:val="1"/>
          <w:sz w:val="28"/>
          <w:szCs w:val="28"/>
          <w:rtl w:val="0"/>
        </w:rPr>
        <w:t xml:space="preserve">COPS6</w:t>
      </w:r>
      <w:r w:rsidDel="00000000" w:rsidR="00000000" w:rsidRPr="00000000">
        <w:rPr>
          <w:sz w:val="28"/>
          <w:szCs w:val="28"/>
          <w:rtl w:val="0"/>
        </w:rPr>
        <w:t xml:space="preserve">, </w:t>
      </w:r>
      <w:r w:rsidDel="00000000" w:rsidR="00000000" w:rsidRPr="00000000">
        <w:rPr>
          <w:i w:val="1"/>
          <w:sz w:val="28"/>
          <w:szCs w:val="28"/>
          <w:rtl w:val="0"/>
        </w:rPr>
        <w:t xml:space="preserve">TRRAP</w:t>
      </w:r>
      <w:r w:rsidDel="00000000" w:rsidR="00000000" w:rsidRPr="00000000">
        <w:rPr>
          <w:sz w:val="28"/>
          <w:szCs w:val="28"/>
          <w:rtl w:val="0"/>
        </w:rPr>
        <w:t xml:space="preserve">, and </w:t>
      </w:r>
      <w:r w:rsidDel="00000000" w:rsidR="00000000" w:rsidRPr="00000000">
        <w:rPr>
          <w:i w:val="1"/>
          <w:sz w:val="28"/>
          <w:szCs w:val="28"/>
          <w:rtl w:val="0"/>
        </w:rPr>
        <w:t xml:space="preserve">PRMT1</w:t>
      </w:r>
      <w:r w:rsidDel="00000000" w:rsidR="00000000" w:rsidRPr="00000000">
        <w:rPr>
          <w:sz w:val="28"/>
          <w:szCs w:val="28"/>
          <w:rtl w:val="0"/>
        </w:rPr>
        <w:t xml:space="preserve">, suggesting they contribute to the MYC transcriptional program. Importantly, aberrations within aBL-specific regions showed no difference when stratified on EBV status or patient sex. In contrast, when patients are stratified based on EBV status, EBV-negative BL samples are uniquely associated with recurrent amplifications within long arms on chromosomes 1 and 13, as well as deletions at 6q15 and 11q25. The recurrent CNVs specific to EBV-negative BL are resulting in deletion of </w:t>
      </w:r>
      <w:r w:rsidDel="00000000" w:rsidR="00000000" w:rsidRPr="00000000">
        <w:rPr>
          <w:i w:val="1"/>
          <w:sz w:val="28"/>
          <w:szCs w:val="28"/>
          <w:rtl w:val="0"/>
        </w:rPr>
        <w:t xml:space="preserve">PRDM1</w:t>
      </w:r>
      <w:r w:rsidDel="00000000" w:rsidR="00000000" w:rsidRPr="00000000">
        <w:rPr>
          <w:sz w:val="28"/>
          <w:szCs w:val="28"/>
          <w:rtl w:val="0"/>
        </w:rPr>
        <w:t xml:space="preserve"> (identified in 6.9% EBV-negative aBL and not detected in EBV-positive aBL) and amplification of the locus containing </w:t>
      </w:r>
      <w:r w:rsidDel="00000000" w:rsidR="00000000" w:rsidRPr="00000000">
        <w:rPr>
          <w:i w:val="1"/>
          <w:sz w:val="28"/>
          <w:szCs w:val="28"/>
          <w:rtl w:val="0"/>
        </w:rPr>
        <w:t xml:space="preserve">FCGR2B</w:t>
      </w:r>
      <w:r w:rsidDel="00000000" w:rsidR="00000000" w:rsidRPr="00000000">
        <w:rPr>
          <w:sz w:val="28"/>
          <w:szCs w:val="28"/>
          <w:rtl w:val="0"/>
        </w:rPr>
        <w:t xml:space="preserve"> (found in 24.1% EBV-negative aBL and not identified in EBV-positive aBL), a known contributor to rituximab resistance in DLBCL and chronic lymphocytic leukemia.</w:t>
      </w:r>
    </w:p>
    <w:p w:rsidR="00000000" w:rsidDel="00000000" w:rsidP="00000000" w:rsidRDefault="00000000" w:rsidRPr="00000000" w14:paraId="00000041">
      <w:pPr>
        <w:spacing w:after="280" w:before="240" w:line="240" w:lineRule="auto"/>
        <w:rPr>
          <w:sz w:val="28"/>
          <w:szCs w:val="28"/>
          <w:u w:val="single"/>
        </w:rPr>
      </w:pPr>
      <w:r w:rsidDel="00000000" w:rsidR="00000000" w:rsidRPr="00000000">
        <w:rPr>
          <w:rtl w:val="0"/>
        </w:rPr>
      </w:r>
    </w:p>
    <w:p w:rsidR="00000000" w:rsidDel="00000000" w:rsidP="00000000" w:rsidRDefault="00000000" w:rsidRPr="00000000" w14:paraId="00000042">
      <w:pPr>
        <w:spacing w:after="280" w:before="240" w:line="240" w:lineRule="auto"/>
        <w:rPr>
          <w:sz w:val="28"/>
          <w:szCs w:val="28"/>
        </w:rPr>
      </w:pPr>
      <w:r w:rsidDel="00000000" w:rsidR="00000000" w:rsidRPr="00000000">
        <w:rPr>
          <w:sz w:val="28"/>
          <w:szCs w:val="28"/>
          <w:u w:val="single"/>
          <w:rtl w:val="0"/>
        </w:rPr>
        <w:t xml:space="preserve">Conclusions:</w:t>
      </w:r>
      <w:r w:rsidDel="00000000" w:rsidR="00000000" w:rsidRPr="00000000">
        <w:rPr>
          <w:sz w:val="28"/>
          <w:szCs w:val="28"/>
          <w:rtl w:val="0"/>
        </w:rPr>
        <w:t xml:space="preserve"> We show that aBL has a distinct CNV profile compared to pBL, suggesting either distinct mutational processes or selective pressures in this malignancy. These differences are not explained when samples are stratified on EBV status or sex. aBL-specific CNVs affect genes that regulate or cooperate with MYC-mediated transactivation. In addition, we show that chromosomal abnormalities affecting 1q, 6q, and 13q predominantly occur in EBV-negative BL.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