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40" w:line="240" w:lineRule="auto"/>
        <w:jc w:val="center"/>
        <w:rPr>
          <w:b w:val="1"/>
          <w:sz w:val="28"/>
          <w:szCs w:val="28"/>
        </w:rPr>
      </w:pPr>
      <w:r w:rsidDel="00000000" w:rsidR="00000000" w:rsidRPr="00000000">
        <w:rPr>
          <w:b w:val="1"/>
          <w:sz w:val="28"/>
          <w:szCs w:val="28"/>
          <w:rtl w:val="0"/>
        </w:rPr>
        <w:t xml:space="preserve">Novel genetic subgroups inform on shared pathobiology within adult and pediatric Burkitt lymphoma </w:t>
      </w:r>
    </w:p>
    <w:p w:rsidR="00000000" w:rsidDel="00000000" w:rsidP="00000000" w:rsidRDefault="00000000" w:rsidRPr="00000000" w14:paraId="00000002">
      <w:pPr>
        <w:spacing w:after="280" w:before="240" w:line="240" w:lineRule="auto"/>
        <w:rPr>
          <w:sz w:val="28"/>
          <w:szCs w:val="28"/>
          <w:vertAlign w:val="superscript"/>
        </w:rPr>
      </w:pPr>
      <w:r w:rsidDel="00000000" w:rsidR="00000000" w:rsidRPr="00000000">
        <w:rPr>
          <w:sz w:val="28"/>
          <w:szCs w:val="28"/>
          <w:rtl w:val="0"/>
        </w:rPr>
        <w:t xml:space="preserve">Nicole Thomas</w:t>
      </w:r>
      <w:r w:rsidDel="00000000" w:rsidR="00000000" w:rsidRPr="00000000">
        <w:rPr>
          <w:sz w:val="28"/>
          <w:szCs w:val="28"/>
          <w:vertAlign w:val="superscript"/>
          <w:rtl w:val="0"/>
        </w:rPr>
        <w:t xml:space="preserve">1</w:t>
      </w:r>
      <w:r w:rsidDel="00000000" w:rsidR="00000000" w:rsidRPr="00000000">
        <w:rPr>
          <w:sz w:val="28"/>
          <w:szCs w:val="28"/>
          <w:rtl w:val="0"/>
        </w:rPr>
        <w:t xml:space="preserve">, Kostiantyn Dreval</w:t>
      </w:r>
      <w:r w:rsidDel="00000000" w:rsidR="00000000" w:rsidRPr="00000000">
        <w:rPr>
          <w:sz w:val="28"/>
          <w:szCs w:val="28"/>
          <w:vertAlign w:val="superscript"/>
          <w:rtl w:val="0"/>
        </w:rPr>
        <w:t xml:space="preserve">1</w:t>
      </w:r>
      <w:r w:rsidDel="00000000" w:rsidR="00000000" w:rsidRPr="00000000">
        <w:rPr>
          <w:sz w:val="28"/>
          <w:szCs w:val="28"/>
          <w:rtl w:val="0"/>
        </w:rPr>
        <w:t xml:space="preserve">, Daniela S. Gerhard</w:t>
      </w:r>
      <w:r w:rsidDel="00000000" w:rsidR="00000000" w:rsidRPr="00000000">
        <w:rPr>
          <w:sz w:val="28"/>
          <w:szCs w:val="28"/>
          <w:vertAlign w:val="superscript"/>
          <w:rtl w:val="0"/>
        </w:rPr>
        <w:t xml:space="preserve">2</w:t>
      </w:r>
      <w:r w:rsidDel="00000000" w:rsidR="00000000" w:rsidRPr="00000000">
        <w:rPr>
          <w:sz w:val="28"/>
          <w:szCs w:val="28"/>
          <w:rtl w:val="0"/>
        </w:rPr>
        <w:t xml:space="preserve">, Laura K. Hilton</w:t>
      </w:r>
      <w:r w:rsidDel="00000000" w:rsidR="00000000" w:rsidRPr="00000000">
        <w:rPr>
          <w:sz w:val="28"/>
          <w:szCs w:val="28"/>
          <w:vertAlign w:val="superscript"/>
          <w:rtl w:val="0"/>
        </w:rPr>
        <w:t xml:space="preserve">3</w:t>
      </w:r>
      <w:r w:rsidDel="00000000" w:rsidR="00000000" w:rsidRPr="00000000">
        <w:rPr>
          <w:sz w:val="28"/>
          <w:szCs w:val="28"/>
          <w:rtl w:val="0"/>
        </w:rPr>
        <w:t xml:space="preserve">, Jeremy S. Abramson</w:t>
      </w:r>
      <w:r w:rsidDel="00000000" w:rsidR="00000000" w:rsidRPr="00000000">
        <w:rPr>
          <w:sz w:val="28"/>
          <w:szCs w:val="28"/>
          <w:vertAlign w:val="superscript"/>
          <w:rtl w:val="0"/>
        </w:rPr>
        <w:t xml:space="preserve">4</w:t>
      </w:r>
      <w:r w:rsidDel="00000000" w:rsidR="00000000" w:rsidRPr="00000000">
        <w:rPr>
          <w:sz w:val="28"/>
          <w:szCs w:val="28"/>
          <w:rtl w:val="0"/>
        </w:rPr>
        <w:t xml:space="preserve">, Nancy L. Bartlett</w:t>
      </w:r>
      <w:r w:rsidDel="00000000" w:rsidR="00000000" w:rsidRPr="00000000">
        <w:rPr>
          <w:sz w:val="28"/>
          <w:szCs w:val="28"/>
          <w:vertAlign w:val="superscript"/>
          <w:rtl w:val="0"/>
        </w:rPr>
        <w:t xml:space="preserve">5</w:t>
      </w:r>
      <w:r w:rsidDel="00000000" w:rsidR="00000000" w:rsidRPr="00000000">
        <w:rPr>
          <w:sz w:val="28"/>
          <w:szCs w:val="28"/>
          <w:rtl w:val="0"/>
        </w:rPr>
        <w:t xml:space="preserve">, Jeffrey Bethony</w:t>
      </w:r>
      <w:r w:rsidDel="00000000" w:rsidR="00000000" w:rsidRPr="00000000">
        <w:rPr>
          <w:sz w:val="28"/>
          <w:szCs w:val="28"/>
          <w:vertAlign w:val="superscript"/>
          <w:rtl w:val="0"/>
        </w:rPr>
        <w:t xml:space="preserve">6</w:t>
      </w:r>
      <w:r w:rsidDel="00000000" w:rsidR="00000000" w:rsidRPr="00000000">
        <w:rPr>
          <w:sz w:val="28"/>
          <w:szCs w:val="28"/>
          <w:rtl w:val="0"/>
        </w:rPr>
        <w:t xml:space="preserve">, Jay Bowen</w:t>
      </w:r>
      <w:r w:rsidDel="00000000" w:rsidR="00000000" w:rsidRPr="00000000">
        <w:rPr>
          <w:sz w:val="28"/>
          <w:szCs w:val="28"/>
          <w:vertAlign w:val="superscript"/>
          <w:rtl w:val="0"/>
        </w:rPr>
        <w:t xml:space="preserve">7</w:t>
      </w:r>
      <w:r w:rsidDel="00000000" w:rsidR="00000000" w:rsidRPr="00000000">
        <w:rPr>
          <w:sz w:val="28"/>
          <w:szCs w:val="28"/>
          <w:rtl w:val="0"/>
        </w:rPr>
        <w:t xml:space="preserve">, Anthony C. Bryan</w:t>
      </w:r>
      <w:r w:rsidDel="00000000" w:rsidR="00000000" w:rsidRPr="00000000">
        <w:rPr>
          <w:sz w:val="28"/>
          <w:szCs w:val="28"/>
          <w:vertAlign w:val="superscript"/>
          <w:rtl w:val="0"/>
        </w:rPr>
        <w:t xml:space="preserve">7</w:t>
      </w:r>
      <w:r w:rsidDel="00000000" w:rsidR="00000000" w:rsidRPr="00000000">
        <w:rPr>
          <w:sz w:val="28"/>
          <w:szCs w:val="28"/>
          <w:rtl w:val="0"/>
        </w:rPr>
        <w:t xml:space="preserve">, Corey Casper</w:t>
      </w:r>
      <w:r w:rsidDel="00000000" w:rsidR="00000000" w:rsidRPr="00000000">
        <w:rPr>
          <w:sz w:val="28"/>
          <w:szCs w:val="28"/>
          <w:vertAlign w:val="superscript"/>
          <w:rtl w:val="0"/>
        </w:rPr>
        <w:t xml:space="preserve">8</w:t>
      </w:r>
      <w:r w:rsidDel="00000000" w:rsidR="00000000" w:rsidRPr="00000000">
        <w:rPr>
          <w:sz w:val="28"/>
          <w:szCs w:val="28"/>
          <w:rtl w:val="0"/>
        </w:rPr>
        <w:t xml:space="preserve">, Manuela Cruz</w:t>
      </w:r>
      <w:r w:rsidDel="00000000" w:rsidR="00000000" w:rsidRPr="00000000">
        <w:rPr>
          <w:sz w:val="28"/>
          <w:szCs w:val="28"/>
          <w:vertAlign w:val="superscript"/>
          <w:rtl w:val="0"/>
        </w:rPr>
        <w:t xml:space="preserve">1</w:t>
      </w:r>
      <w:r w:rsidDel="00000000" w:rsidR="00000000" w:rsidRPr="00000000">
        <w:rPr>
          <w:sz w:val="28"/>
          <w:szCs w:val="28"/>
          <w:rtl w:val="0"/>
        </w:rPr>
        <w:t xml:space="preserve">, </w:t>
      </w:r>
      <w:r w:rsidDel="00000000" w:rsidR="00000000" w:rsidRPr="00000000">
        <w:rPr>
          <w:sz w:val="28"/>
          <w:szCs w:val="28"/>
          <w:rtl w:val="0"/>
        </w:rPr>
        <w:t xml:space="preserve">Maureen Dyer</w:t>
      </w:r>
      <w:r w:rsidDel="00000000" w:rsidR="00000000" w:rsidRPr="00000000">
        <w:rPr>
          <w:sz w:val="28"/>
          <w:szCs w:val="28"/>
          <w:vertAlign w:val="superscript"/>
          <w:rtl w:val="0"/>
        </w:rPr>
        <w:t xml:space="preserve">9</w:t>
      </w:r>
      <w:r w:rsidDel="00000000" w:rsidR="00000000" w:rsidRPr="00000000">
        <w:rPr>
          <w:sz w:val="28"/>
          <w:szCs w:val="28"/>
          <w:rtl w:val="0"/>
        </w:rPr>
        <w:t xml:space="preserve">, Julie M. Gastier-Foster</w:t>
      </w:r>
      <w:r w:rsidDel="00000000" w:rsidR="00000000" w:rsidRPr="00000000">
        <w:rPr>
          <w:sz w:val="28"/>
          <w:szCs w:val="28"/>
          <w:vertAlign w:val="superscript"/>
          <w:rtl w:val="0"/>
        </w:rPr>
        <w:t xml:space="preserve">7,10</w:t>
      </w:r>
      <w:r w:rsidDel="00000000" w:rsidR="00000000" w:rsidRPr="00000000">
        <w:rPr>
          <w:sz w:val="28"/>
          <w:szCs w:val="28"/>
          <w:rtl w:val="0"/>
        </w:rPr>
        <w:t xml:space="preserve">, Alina Gerrie</w:t>
      </w:r>
      <w:r w:rsidDel="00000000" w:rsidR="00000000" w:rsidRPr="00000000">
        <w:rPr>
          <w:sz w:val="28"/>
          <w:szCs w:val="28"/>
          <w:vertAlign w:val="superscript"/>
          <w:rtl w:val="0"/>
        </w:rPr>
        <w:t xml:space="preserve">3</w:t>
      </w:r>
      <w:r w:rsidDel="00000000" w:rsidR="00000000" w:rsidRPr="00000000">
        <w:rPr>
          <w:sz w:val="28"/>
          <w:szCs w:val="28"/>
          <w:rtl w:val="0"/>
        </w:rPr>
        <w:t xml:space="preserve">, Bruno M. Grande</w:t>
      </w:r>
      <w:r w:rsidDel="00000000" w:rsidR="00000000" w:rsidRPr="00000000">
        <w:rPr>
          <w:sz w:val="28"/>
          <w:szCs w:val="28"/>
          <w:vertAlign w:val="superscript"/>
          <w:rtl w:val="0"/>
        </w:rPr>
        <w:t xml:space="preserve">11</w:t>
      </w:r>
      <w:r w:rsidDel="00000000" w:rsidR="00000000" w:rsidRPr="00000000">
        <w:rPr>
          <w:sz w:val="28"/>
          <w:szCs w:val="28"/>
          <w:rtl w:val="0"/>
        </w:rPr>
        <w:t xml:space="preserve">, Timothy Greiner</w:t>
      </w:r>
      <w:r w:rsidDel="00000000" w:rsidR="00000000" w:rsidRPr="00000000">
        <w:rPr>
          <w:sz w:val="28"/>
          <w:szCs w:val="28"/>
          <w:vertAlign w:val="superscript"/>
          <w:rtl w:val="0"/>
        </w:rPr>
        <w:t xml:space="preserve">12</w:t>
      </w:r>
      <w:r w:rsidDel="00000000" w:rsidR="00000000" w:rsidRPr="00000000">
        <w:rPr>
          <w:sz w:val="28"/>
          <w:szCs w:val="28"/>
          <w:rtl w:val="0"/>
        </w:rPr>
        <w:t xml:space="preserve">, Nicholas B. Griner</w:t>
      </w:r>
      <w:r w:rsidDel="00000000" w:rsidR="00000000" w:rsidRPr="00000000">
        <w:rPr>
          <w:sz w:val="28"/>
          <w:szCs w:val="28"/>
          <w:vertAlign w:val="superscript"/>
          <w:rtl w:val="0"/>
        </w:rPr>
        <w:t xml:space="preserve">2</w:t>
      </w:r>
      <w:r w:rsidDel="00000000" w:rsidR="00000000" w:rsidRPr="00000000">
        <w:rPr>
          <w:sz w:val="28"/>
          <w:szCs w:val="28"/>
          <w:rtl w:val="0"/>
        </w:rPr>
        <w:t xml:space="preserve">, Thomas G. Gross</w:t>
      </w:r>
      <w:r w:rsidDel="00000000" w:rsidR="00000000" w:rsidRPr="00000000">
        <w:rPr>
          <w:sz w:val="28"/>
          <w:szCs w:val="28"/>
          <w:vertAlign w:val="superscript"/>
          <w:rtl w:val="0"/>
        </w:rPr>
        <w:t xml:space="preserve">13</w:t>
      </w:r>
      <w:r w:rsidDel="00000000" w:rsidR="00000000" w:rsidRPr="00000000">
        <w:rPr>
          <w:sz w:val="28"/>
          <w:szCs w:val="28"/>
          <w:rtl w:val="0"/>
        </w:rPr>
        <w:t xml:space="preserve">, Nancy Lee Harris</w:t>
      </w:r>
      <w:r w:rsidDel="00000000" w:rsidR="00000000" w:rsidRPr="00000000">
        <w:rPr>
          <w:sz w:val="28"/>
          <w:szCs w:val="28"/>
          <w:vertAlign w:val="superscript"/>
          <w:rtl w:val="0"/>
        </w:rPr>
        <w:t xml:space="preserve">14</w:t>
      </w:r>
      <w:r w:rsidDel="00000000" w:rsidR="00000000" w:rsidRPr="00000000">
        <w:rPr>
          <w:sz w:val="28"/>
          <w:szCs w:val="28"/>
          <w:rtl w:val="0"/>
        </w:rPr>
        <w:t xml:space="preserve">, John D. Irvin</w:t>
      </w:r>
      <w:r w:rsidDel="00000000" w:rsidR="00000000" w:rsidRPr="00000000">
        <w:rPr>
          <w:sz w:val="28"/>
          <w:szCs w:val="28"/>
          <w:vertAlign w:val="superscript"/>
          <w:rtl w:val="0"/>
        </w:rPr>
        <w:t xml:space="preserve">15</w:t>
      </w:r>
      <w:r w:rsidDel="00000000" w:rsidR="00000000" w:rsidRPr="00000000">
        <w:rPr>
          <w:sz w:val="28"/>
          <w:szCs w:val="28"/>
          <w:rtl w:val="0"/>
        </w:rPr>
        <w:t xml:space="preserve">, Elaine S. Jaffe</w:t>
      </w:r>
      <w:r w:rsidDel="00000000" w:rsidR="00000000" w:rsidRPr="00000000">
        <w:rPr>
          <w:sz w:val="28"/>
          <w:szCs w:val="28"/>
          <w:vertAlign w:val="superscript"/>
          <w:rtl w:val="0"/>
        </w:rPr>
        <w:t xml:space="preserve">16</w:t>
      </w:r>
      <w:r w:rsidDel="00000000" w:rsidR="00000000" w:rsidRPr="00000000">
        <w:rPr>
          <w:sz w:val="28"/>
          <w:szCs w:val="28"/>
          <w:rtl w:val="0"/>
        </w:rPr>
        <w:t xml:space="preserve">, Fabio Leal</w:t>
      </w:r>
      <w:r w:rsidDel="00000000" w:rsidR="00000000" w:rsidRPr="00000000">
        <w:rPr>
          <w:sz w:val="28"/>
          <w:szCs w:val="28"/>
          <w:vertAlign w:val="superscript"/>
          <w:rtl w:val="0"/>
        </w:rPr>
        <w:t xml:space="preserve">17</w:t>
      </w:r>
      <w:r w:rsidDel="00000000" w:rsidR="00000000" w:rsidRPr="00000000">
        <w:rPr>
          <w:sz w:val="28"/>
          <w:szCs w:val="28"/>
          <w:rtl w:val="0"/>
        </w:rPr>
        <w:t xml:space="preserve">, Jean Paul Martin</w:t>
      </w:r>
      <w:r w:rsidDel="00000000" w:rsidR="00000000" w:rsidRPr="00000000">
        <w:rPr>
          <w:sz w:val="28"/>
          <w:szCs w:val="28"/>
          <w:vertAlign w:val="superscript"/>
          <w:rtl w:val="0"/>
        </w:rPr>
        <w:t xml:space="preserve">15</w:t>
      </w:r>
      <w:r w:rsidDel="00000000" w:rsidR="00000000" w:rsidRPr="00000000">
        <w:rPr>
          <w:sz w:val="28"/>
          <w:szCs w:val="28"/>
          <w:rtl w:val="0"/>
        </w:rPr>
        <w:t xml:space="preserve">, Marie-Reine Martin</w:t>
      </w:r>
      <w:r w:rsidDel="00000000" w:rsidR="00000000" w:rsidRPr="00000000">
        <w:rPr>
          <w:sz w:val="28"/>
          <w:szCs w:val="28"/>
          <w:vertAlign w:val="superscript"/>
          <w:rtl w:val="0"/>
        </w:rPr>
        <w:t xml:space="preserve">15</w:t>
      </w:r>
      <w:r w:rsidDel="00000000" w:rsidR="00000000" w:rsidRPr="00000000">
        <w:rPr>
          <w:sz w:val="28"/>
          <w:szCs w:val="28"/>
          <w:rtl w:val="0"/>
        </w:rPr>
        <w:t xml:space="preserve">, Sam M. Mbulaiteye</w:t>
      </w:r>
      <w:r w:rsidDel="00000000" w:rsidR="00000000" w:rsidRPr="00000000">
        <w:rPr>
          <w:sz w:val="28"/>
          <w:szCs w:val="28"/>
          <w:vertAlign w:val="superscript"/>
          <w:rtl w:val="0"/>
        </w:rPr>
        <w:t xml:space="preserve">18</w:t>
      </w:r>
      <w:r w:rsidDel="00000000" w:rsidR="00000000" w:rsidRPr="00000000">
        <w:rPr>
          <w:sz w:val="28"/>
          <w:szCs w:val="28"/>
          <w:rtl w:val="0"/>
        </w:rPr>
        <w:t xml:space="preserve">, Charles G. Mullighan</w:t>
      </w:r>
      <w:r w:rsidDel="00000000" w:rsidR="00000000" w:rsidRPr="00000000">
        <w:rPr>
          <w:sz w:val="28"/>
          <w:szCs w:val="28"/>
          <w:vertAlign w:val="superscript"/>
          <w:rtl w:val="0"/>
        </w:rPr>
        <w:t xml:space="preserve">19</w:t>
      </w:r>
      <w:r w:rsidDel="00000000" w:rsidR="00000000" w:rsidRPr="00000000">
        <w:rPr>
          <w:sz w:val="28"/>
          <w:szCs w:val="28"/>
          <w:rtl w:val="0"/>
        </w:rPr>
        <w:t xml:space="preserve">, Andrew J. Mungall</w:t>
      </w:r>
      <w:r w:rsidDel="00000000" w:rsidR="00000000" w:rsidRPr="00000000">
        <w:rPr>
          <w:sz w:val="28"/>
          <w:szCs w:val="28"/>
          <w:vertAlign w:val="superscript"/>
          <w:rtl w:val="0"/>
        </w:rPr>
        <w:t xml:space="preserve">20</w:t>
      </w:r>
      <w:r w:rsidDel="00000000" w:rsidR="00000000" w:rsidRPr="00000000">
        <w:rPr>
          <w:sz w:val="28"/>
          <w:szCs w:val="28"/>
          <w:rtl w:val="0"/>
        </w:rPr>
        <w:t xml:space="preserve">, Karen Mungall</w:t>
      </w:r>
      <w:r w:rsidDel="00000000" w:rsidR="00000000" w:rsidRPr="00000000">
        <w:rPr>
          <w:sz w:val="28"/>
          <w:szCs w:val="28"/>
          <w:vertAlign w:val="superscript"/>
          <w:rtl w:val="0"/>
        </w:rPr>
        <w:t xml:space="preserve">20</w:t>
      </w:r>
      <w:r w:rsidDel="00000000" w:rsidR="00000000" w:rsidRPr="00000000">
        <w:rPr>
          <w:sz w:val="28"/>
          <w:szCs w:val="28"/>
          <w:rtl w:val="0"/>
        </w:rPr>
        <w:t xml:space="preserve">, Constance Namirembe</w:t>
      </w:r>
      <w:r w:rsidDel="00000000" w:rsidR="00000000" w:rsidRPr="00000000">
        <w:rPr>
          <w:sz w:val="28"/>
          <w:szCs w:val="28"/>
          <w:vertAlign w:val="superscript"/>
          <w:rtl w:val="0"/>
        </w:rPr>
        <w:t xml:space="preserve">21</w:t>
      </w:r>
      <w:r w:rsidDel="00000000" w:rsidR="00000000" w:rsidRPr="00000000">
        <w:rPr>
          <w:sz w:val="28"/>
          <w:szCs w:val="28"/>
          <w:rtl w:val="0"/>
        </w:rPr>
        <w:t xml:space="preserve">, Ariela Noy</w:t>
      </w:r>
      <w:r w:rsidDel="00000000" w:rsidR="00000000" w:rsidRPr="00000000">
        <w:rPr>
          <w:sz w:val="28"/>
          <w:szCs w:val="28"/>
          <w:vertAlign w:val="superscript"/>
          <w:rtl w:val="0"/>
        </w:rPr>
        <w:t xml:space="preserve">22</w:t>
      </w:r>
      <w:r w:rsidDel="00000000" w:rsidR="00000000" w:rsidRPr="00000000">
        <w:rPr>
          <w:sz w:val="28"/>
          <w:szCs w:val="28"/>
          <w:rtl w:val="0"/>
        </w:rPr>
        <w:t xml:space="preserve">, Martin D. Ogwang</w:t>
      </w:r>
      <w:r w:rsidDel="00000000" w:rsidR="00000000" w:rsidRPr="00000000">
        <w:rPr>
          <w:sz w:val="28"/>
          <w:szCs w:val="28"/>
          <w:vertAlign w:val="superscript"/>
          <w:rtl w:val="0"/>
        </w:rPr>
        <w:t xml:space="preserve">23</w:t>
      </w:r>
      <w:r w:rsidDel="00000000" w:rsidR="00000000" w:rsidRPr="00000000">
        <w:rPr>
          <w:sz w:val="28"/>
          <w:szCs w:val="28"/>
          <w:rtl w:val="0"/>
        </w:rPr>
        <w:t xml:space="preserve">, Jackson Orem</w:t>
      </w:r>
      <w:r w:rsidDel="00000000" w:rsidR="00000000" w:rsidRPr="00000000">
        <w:rPr>
          <w:sz w:val="28"/>
          <w:szCs w:val="28"/>
          <w:vertAlign w:val="superscript"/>
          <w:rtl w:val="0"/>
        </w:rPr>
        <w:t xml:space="preserve">21</w:t>
      </w:r>
      <w:r w:rsidDel="00000000" w:rsidR="00000000" w:rsidRPr="00000000">
        <w:rPr>
          <w:sz w:val="28"/>
          <w:szCs w:val="28"/>
          <w:rtl w:val="0"/>
        </w:rPr>
        <w:t xml:space="preserve">, German Ott</w:t>
      </w:r>
      <w:r w:rsidDel="00000000" w:rsidR="00000000" w:rsidRPr="00000000">
        <w:rPr>
          <w:sz w:val="28"/>
          <w:szCs w:val="28"/>
          <w:vertAlign w:val="superscript"/>
          <w:rtl w:val="0"/>
        </w:rPr>
        <w:t xml:space="preserve">24</w:t>
      </w:r>
      <w:r w:rsidDel="00000000" w:rsidR="00000000" w:rsidRPr="00000000">
        <w:rPr>
          <w:sz w:val="28"/>
          <w:szCs w:val="28"/>
          <w:rtl w:val="0"/>
        </w:rPr>
        <w:t xml:space="preserve">, Hilary Petrello</w:t>
      </w:r>
      <w:r w:rsidDel="00000000" w:rsidR="00000000" w:rsidRPr="00000000">
        <w:rPr>
          <w:sz w:val="28"/>
          <w:szCs w:val="28"/>
          <w:vertAlign w:val="superscript"/>
          <w:rtl w:val="0"/>
        </w:rPr>
        <w:t xml:space="preserve">7</w:t>
      </w:r>
      <w:r w:rsidDel="00000000" w:rsidR="00000000" w:rsidRPr="00000000">
        <w:rPr>
          <w:sz w:val="28"/>
          <w:szCs w:val="28"/>
          <w:rtl w:val="0"/>
        </w:rPr>
        <w:t xml:space="preserve">, Steven J. Reynolds</w:t>
      </w:r>
      <w:r w:rsidDel="00000000" w:rsidR="00000000" w:rsidRPr="00000000">
        <w:rPr>
          <w:sz w:val="28"/>
          <w:szCs w:val="28"/>
          <w:vertAlign w:val="superscript"/>
          <w:rtl w:val="0"/>
        </w:rPr>
        <w:t xml:space="preserve">25</w:t>
      </w:r>
      <w:r w:rsidDel="00000000" w:rsidR="00000000" w:rsidRPr="00000000">
        <w:rPr>
          <w:sz w:val="28"/>
          <w:szCs w:val="28"/>
          <w:rtl w:val="0"/>
        </w:rPr>
        <w:t xml:space="preserve">,  Shaghayegh Soudi</w:t>
      </w:r>
      <w:r w:rsidDel="00000000" w:rsidR="00000000" w:rsidRPr="00000000">
        <w:rPr>
          <w:sz w:val="28"/>
          <w:szCs w:val="28"/>
          <w:vertAlign w:val="superscript"/>
          <w:rtl w:val="0"/>
        </w:rPr>
        <w:t xml:space="preserve">1</w:t>
      </w:r>
      <w:r w:rsidDel="00000000" w:rsidR="00000000" w:rsidRPr="00000000">
        <w:rPr>
          <w:sz w:val="28"/>
          <w:szCs w:val="28"/>
          <w:rtl w:val="0"/>
        </w:rPr>
        <w:t xml:space="preserve">, Steven H. Swerdlow</w:t>
      </w:r>
      <w:r w:rsidDel="00000000" w:rsidR="00000000" w:rsidRPr="00000000">
        <w:rPr>
          <w:sz w:val="28"/>
          <w:szCs w:val="28"/>
          <w:vertAlign w:val="superscript"/>
          <w:rtl w:val="0"/>
        </w:rPr>
        <w:t xml:space="preserve">26</w:t>
      </w:r>
      <w:r w:rsidDel="00000000" w:rsidR="00000000" w:rsidRPr="00000000">
        <w:rPr>
          <w:sz w:val="28"/>
          <w:szCs w:val="28"/>
          <w:rtl w:val="0"/>
        </w:rPr>
        <w:t xml:space="preserve">, Alexandra Traverse-Glehen</w:t>
      </w:r>
      <w:r w:rsidDel="00000000" w:rsidR="00000000" w:rsidRPr="00000000">
        <w:rPr>
          <w:sz w:val="28"/>
          <w:szCs w:val="28"/>
          <w:vertAlign w:val="superscript"/>
          <w:rtl w:val="0"/>
        </w:rPr>
        <w:t xml:space="preserve">27</w:t>
      </w:r>
      <w:r w:rsidDel="00000000" w:rsidR="00000000" w:rsidRPr="00000000">
        <w:rPr>
          <w:sz w:val="28"/>
          <w:szCs w:val="28"/>
          <w:rtl w:val="0"/>
        </w:rPr>
        <w:t xml:space="preserve">, Wyndham H. Wilson</w:t>
      </w:r>
      <w:r w:rsidDel="00000000" w:rsidR="00000000" w:rsidRPr="00000000">
        <w:rPr>
          <w:sz w:val="28"/>
          <w:szCs w:val="28"/>
          <w:vertAlign w:val="superscript"/>
          <w:rtl w:val="0"/>
        </w:rPr>
        <w:t xml:space="preserve">28</w:t>
      </w:r>
      <w:r w:rsidDel="00000000" w:rsidR="00000000" w:rsidRPr="00000000">
        <w:rPr>
          <w:sz w:val="28"/>
          <w:szCs w:val="28"/>
          <w:rtl w:val="0"/>
        </w:rPr>
        <w:t xml:space="preserve">, Jasper Wong</w:t>
      </w:r>
      <w:r w:rsidDel="00000000" w:rsidR="00000000" w:rsidRPr="00000000">
        <w:rPr>
          <w:sz w:val="28"/>
          <w:szCs w:val="28"/>
          <w:vertAlign w:val="superscript"/>
          <w:rtl w:val="0"/>
        </w:rPr>
        <w:t xml:space="preserve">3</w:t>
      </w:r>
      <w:r w:rsidDel="00000000" w:rsidR="00000000" w:rsidRPr="00000000">
        <w:rPr>
          <w:sz w:val="28"/>
          <w:szCs w:val="28"/>
          <w:rtl w:val="0"/>
        </w:rPr>
        <w:t xml:space="preserve">, Marco A. Marra</w:t>
      </w:r>
      <w:r w:rsidDel="00000000" w:rsidR="00000000" w:rsidRPr="00000000">
        <w:rPr>
          <w:sz w:val="28"/>
          <w:szCs w:val="28"/>
          <w:vertAlign w:val="superscript"/>
          <w:rtl w:val="0"/>
        </w:rPr>
        <w:t xml:space="preserve">20,29</w:t>
      </w:r>
      <w:r w:rsidDel="00000000" w:rsidR="00000000" w:rsidRPr="00000000">
        <w:rPr>
          <w:sz w:val="28"/>
          <w:szCs w:val="28"/>
          <w:rtl w:val="0"/>
        </w:rPr>
        <w:t xml:space="preserve">, Louis M. Staudt</w:t>
      </w:r>
      <w:r w:rsidDel="00000000" w:rsidR="00000000" w:rsidRPr="00000000">
        <w:rPr>
          <w:sz w:val="28"/>
          <w:szCs w:val="28"/>
          <w:vertAlign w:val="superscript"/>
          <w:rtl w:val="0"/>
        </w:rPr>
        <w:t xml:space="preserve">28</w:t>
      </w:r>
      <w:r w:rsidDel="00000000" w:rsidR="00000000" w:rsidRPr="00000000">
        <w:rPr>
          <w:sz w:val="28"/>
          <w:szCs w:val="28"/>
          <w:rtl w:val="0"/>
        </w:rPr>
        <w:t xml:space="preserve">, David W. Scott</w:t>
      </w:r>
      <w:r w:rsidDel="00000000" w:rsidR="00000000" w:rsidRPr="00000000">
        <w:rPr>
          <w:sz w:val="28"/>
          <w:szCs w:val="28"/>
          <w:vertAlign w:val="superscript"/>
          <w:rtl w:val="0"/>
        </w:rPr>
        <w:t xml:space="preserve">3</w:t>
      </w:r>
      <w:r w:rsidDel="00000000" w:rsidR="00000000" w:rsidRPr="00000000">
        <w:rPr>
          <w:sz w:val="28"/>
          <w:szCs w:val="28"/>
          <w:rtl w:val="0"/>
        </w:rPr>
        <w:t xml:space="preserve"> &amp; Ryan D. Morin</w:t>
      </w:r>
      <w:r w:rsidDel="00000000" w:rsidR="00000000" w:rsidRPr="00000000">
        <w:rPr>
          <w:sz w:val="28"/>
          <w:szCs w:val="28"/>
          <w:vertAlign w:val="superscript"/>
          <w:rtl w:val="0"/>
        </w:rPr>
        <w:t xml:space="preserve">1,20</w:t>
      </w:r>
    </w:p>
    <w:p w:rsidR="00000000" w:rsidDel="00000000" w:rsidP="00000000" w:rsidRDefault="00000000" w:rsidRPr="00000000" w14:paraId="00000003">
      <w:pPr>
        <w:rPr>
          <w:sz w:val="28"/>
          <w:szCs w:val="28"/>
        </w:rPr>
      </w:pPr>
      <w:r w:rsidDel="00000000" w:rsidR="00000000" w:rsidRPr="00000000">
        <w:rPr>
          <w:sz w:val="28"/>
          <w:szCs w:val="28"/>
          <w:vertAlign w:val="superscript"/>
          <w:rtl w:val="0"/>
        </w:rPr>
        <w:t xml:space="preserve">1</w:t>
      </w:r>
      <w:r w:rsidDel="00000000" w:rsidR="00000000" w:rsidRPr="00000000">
        <w:rPr>
          <w:sz w:val="28"/>
          <w:szCs w:val="28"/>
          <w:rtl w:val="0"/>
        </w:rPr>
        <w:t xml:space="preserve">Department of Molecular Biology and Biochemistry, Simon Fraser University, Burnaby, BC, Canada.</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vertAlign w:val="superscript"/>
          <w:rtl w:val="0"/>
        </w:rPr>
        <w:t xml:space="preserve">2</w:t>
      </w:r>
      <w:r w:rsidDel="00000000" w:rsidR="00000000" w:rsidRPr="00000000">
        <w:rPr>
          <w:sz w:val="28"/>
          <w:szCs w:val="28"/>
          <w:rtl w:val="0"/>
        </w:rPr>
        <w:t xml:space="preserve">Office of Cancer Genomics, National Cancer Institute, National Institutes of Health, Bethesda, MD, USA.</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vertAlign w:val="superscript"/>
          <w:rtl w:val="0"/>
        </w:rPr>
        <w:t xml:space="preserve">3</w:t>
      </w:r>
      <w:r w:rsidDel="00000000" w:rsidR="00000000" w:rsidRPr="00000000">
        <w:rPr>
          <w:sz w:val="28"/>
          <w:szCs w:val="28"/>
          <w:rtl w:val="0"/>
        </w:rPr>
        <w:t xml:space="preserve">Centre for Lymphoid Cancer, BC Cancer, Vancouver, BC, Canada.</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vertAlign w:val="superscript"/>
          <w:rtl w:val="0"/>
        </w:rPr>
        <w:t xml:space="preserve">4</w:t>
      </w:r>
      <w:r w:rsidDel="00000000" w:rsidR="00000000" w:rsidRPr="00000000">
        <w:rPr>
          <w:sz w:val="28"/>
          <w:szCs w:val="28"/>
          <w:rtl w:val="0"/>
        </w:rPr>
        <w:t xml:space="preserve">Center for Lymphoma, Massachusetts General Hospital, Harvard Medical School, Boston, MA, USA.</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vertAlign w:val="superscript"/>
          <w:rtl w:val="0"/>
        </w:rPr>
        <w:t xml:space="preserve">5</w:t>
      </w:r>
      <w:r w:rsidDel="00000000" w:rsidR="00000000" w:rsidRPr="00000000">
        <w:rPr>
          <w:sz w:val="28"/>
          <w:szCs w:val="28"/>
          <w:rtl w:val="0"/>
        </w:rPr>
        <w:t xml:space="preserve">Washington University School of Medicine, St. Louis, MO, USA.</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vertAlign w:val="superscript"/>
          <w:rtl w:val="0"/>
        </w:rPr>
        <w:t xml:space="preserve">6</w:t>
      </w:r>
      <w:r w:rsidDel="00000000" w:rsidR="00000000" w:rsidRPr="00000000">
        <w:rPr>
          <w:sz w:val="28"/>
          <w:szCs w:val="28"/>
          <w:rtl w:val="0"/>
        </w:rPr>
        <w:t xml:space="preserve">George Washington University, Washington, DC, USA.</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vertAlign w:val="superscript"/>
          <w:rtl w:val="0"/>
        </w:rPr>
        <w:t xml:space="preserve">7</w:t>
      </w:r>
      <w:r w:rsidDel="00000000" w:rsidR="00000000" w:rsidRPr="00000000">
        <w:rPr>
          <w:sz w:val="28"/>
          <w:szCs w:val="28"/>
          <w:rtl w:val="0"/>
        </w:rPr>
        <w:t xml:space="preserve">Biopathology Center, Nationwide Children's Hospital, Columbus, OH, USA.</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vertAlign w:val="superscript"/>
          <w:rtl w:val="0"/>
        </w:rPr>
        <w:t xml:space="preserve">8</w:t>
      </w:r>
      <w:r w:rsidDel="00000000" w:rsidR="00000000" w:rsidRPr="00000000">
        <w:rPr>
          <w:sz w:val="28"/>
          <w:szCs w:val="28"/>
          <w:rtl w:val="0"/>
        </w:rPr>
        <w:t xml:space="preserve">Infectious Disease Research Institute, Seattle, WA, USA.</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vertAlign w:val="superscript"/>
          <w:rtl w:val="0"/>
        </w:rPr>
        <w:t xml:space="preserve">9</w:t>
      </w:r>
      <w:r w:rsidDel="00000000" w:rsidR="00000000" w:rsidRPr="00000000">
        <w:rPr>
          <w:sz w:val="28"/>
          <w:szCs w:val="28"/>
          <w:rtl w:val="0"/>
        </w:rPr>
        <w:t xml:space="preserve">Clinical Research Directorate, Frederick National Laboratory for Cancer Research sponsored by the National Cancer Institute, Frederick, MD, USA.</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vertAlign w:val="superscript"/>
          <w:rtl w:val="0"/>
        </w:rPr>
        <w:t xml:space="preserve">10</w:t>
      </w:r>
      <w:r w:rsidDel="00000000" w:rsidR="00000000" w:rsidRPr="00000000">
        <w:rPr>
          <w:sz w:val="28"/>
          <w:szCs w:val="28"/>
          <w:rtl w:val="0"/>
        </w:rPr>
        <w:t xml:space="preserve">Departments of Pathology and Pediatrics, The Ohio State University, Columbus, OH, USA.</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vertAlign w:val="superscript"/>
          <w:rtl w:val="0"/>
        </w:rPr>
        <w:t xml:space="preserve">11</w:t>
      </w:r>
      <w:r w:rsidDel="00000000" w:rsidR="00000000" w:rsidRPr="00000000">
        <w:rPr>
          <w:sz w:val="28"/>
          <w:szCs w:val="28"/>
          <w:rtl w:val="0"/>
        </w:rPr>
        <w:t xml:space="preserve">Sage Bionetworks, Seattle, WA, USA.</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vertAlign w:val="superscript"/>
          <w:rtl w:val="0"/>
        </w:rPr>
        <w:t xml:space="preserve">12</w:t>
      </w:r>
      <w:r w:rsidDel="00000000" w:rsidR="00000000" w:rsidRPr="00000000">
        <w:rPr>
          <w:sz w:val="28"/>
          <w:szCs w:val="28"/>
          <w:rtl w:val="0"/>
        </w:rPr>
        <w:t xml:space="preserve">Department of Pathology and Microbiology, University of Nebraska Medical Center, Omaha, NE, USA.</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vertAlign w:val="superscript"/>
          <w:rtl w:val="0"/>
        </w:rPr>
        <w:t xml:space="preserve">13</w:t>
      </w:r>
      <w:r w:rsidDel="00000000" w:rsidR="00000000" w:rsidRPr="00000000">
        <w:rPr>
          <w:sz w:val="28"/>
          <w:szCs w:val="28"/>
          <w:rtl w:val="0"/>
        </w:rPr>
        <w:t xml:space="preserve">Center for Global Health, National Cancer Institute, National Institutes of Health, Rockville, MD, USA.</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vertAlign w:val="superscript"/>
          <w:rtl w:val="0"/>
        </w:rPr>
        <w:t xml:space="preserve">14</w:t>
      </w:r>
      <w:r w:rsidDel="00000000" w:rsidR="00000000" w:rsidRPr="00000000">
        <w:rPr>
          <w:sz w:val="28"/>
          <w:szCs w:val="28"/>
          <w:rtl w:val="0"/>
        </w:rPr>
        <w:t xml:space="preserve">Department of Pathology, Massachusetts General Hospital, Harvard Medical School, Boston, MA, USA.</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vertAlign w:val="superscript"/>
          <w:rtl w:val="0"/>
        </w:rPr>
        <w:t xml:space="preserve">15</w:t>
      </w:r>
      <w:r w:rsidDel="00000000" w:rsidR="00000000" w:rsidRPr="00000000">
        <w:rPr>
          <w:sz w:val="28"/>
          <w:szCs w:val="28"/>
          <w:rtl w:val="0"/>
        </w:rPr>
        <w:t xml:space="preserve">Foundation for Burkitt Lymphoma Research, Geneva, Switzerland.</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vertAlign w:val="superscript"/>
          <w:rtl w:val="0"/>
        </w:rPr>
        <w:t xml:space="preserve">16</w:t>
      </w:r>
      <w:r w:rsidDel="00000000" w:rsidR="00000000" w:rsidRPr="00000000">
        <w:rPr>
          <w:sz w:val="28"/>
          <w:szCs w:val="28"/>
          <w:rtl w:val="0"/>
        </w:rPr>
        <w:t xml:space="preserve">Laboratory of Pathology, Clinical Center, National Cancer Institute, National Institutes of Health, Bethesda, MD, USA.</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vertAlign w:val="superscript"/>
          <w:rtl w:val="0"/>
        </w:rPr>
        <w:t xml:space="preserve">17</w:t>
      </w:r>
      <w:r w:rsidDel="00000000" w:rsidR="00000000" w:rsidRPr="00000000">
        <w:rPr>
          <w:sz w:val="28"/>
          <w:szCs w:val="28"/>
          <w:rtl w:val="0"/>
        </w:rPr>
        <w:t xml:space="preserve">Programa de Oncovirologia, Instituto Nacional de Cancer Jose de Alencar, Rio de Janeiro, Brazil.</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vertAlign w:val="superscript"/>
          <w:rtl w:val="0"/>
        </w:rPr>
        <w:t xml:space="preserve">18</w:t>
      </w:r>
      <w:r w:rsidDel="00000000" w:rsidR="00000000" w:rsidRPr="00000000">
        <w:rPr>
          <w:sz w:val="28"/>
          <w:szCs w:val="28"/>
          <w:rtl w:val="0"/>
        </w:rPr>
        <w:t xml:space="preserve">Division of Cancer Epidemiology and Genetics, National Cancer Institute, National Institutes of Health, Rockville, MD, USA.</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vertAlign w:val="superscript"/>
          <w:rtl w:val="0"/>
        </w:rPr>
        <w:t xml:space="preserve">19</w:t>
      </w:r>
      <w:r w:rsidDel="00000000" w:rsidR="00000000" w:rsidRPr="00000000">
        <w:rPr>
          <w:sz w:val="28"/>
          <w:szCs w:val="28"/>
          <w:rtl w:val="0"/>
        </w:rPr>
        <w:t xml:space="preserve">Department of Pathology, St. Jude Children's Research Hospital, Memphis, TN, USA.</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vertAlign w:val="superscript"/>
          <w:rtl w:val="0"/>
        </w:rPr>
        <w:t xml:space="preserve">20</w:t>
      </w:r>
      <w:r w:rsidDel="00000000" w:rsidR="00000000" w:rsidRPr="00000000">
        <w:rPr>
          <w:sz w:val="28"/>
          <w:szCs w:val="28"/>
          <w:rtl w:val="0"/>
        </w:rPr>
        <w:t xml:space="preserve">Canada's Michael Smith Genome Sciences Centre at BC Cancer, Vancouver, BC, Canada.</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vertAlign w:val="superscript"/>
          <w:rtl w:val="0"/>
        </w:rPr>
        <w:t xml:space="preserve">21</w:t>
      </w:r>
      <w:r w:rsidDel="00000000" w:rsidR="00000000" w:rsidRPr="00000000">
        <w:rPr>
          <w:sz w:val="28"/>
          <w:szCs w:val="28"/>
          <w:rtl w:val="0"/>
        </w:rPr>
        <w:t xml:space="preserve">Uganda Cancer Institute, Kampala, Uganda.</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vertAlign w:val="superscript"/>
          <w:rtl w:val="0"/>
        </w:rPr>
        <w:t xml:space="preserve">22</w:t>
      </w:r>
      <w:r w:rsidDel="00000000" w:rsidR="00000000" w:rsidRPr="00000000">
        <w:rPr>
          <w:sz w:val="28"/>
          <w:szCs w:val="28"/>
          <w:rtl w:val="0"/>
        </w:rPr>
        <w:t xml:space="preserve">Memorial Sloan Kettering Cancer Center and Weill Cornell Medical College, New York, NY, USA.</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vertAlign w:val="superscript"/>
          <w:rtl w:val="0"/>
        </w:rPr>
        <w:t xml:space="preserve">23</w:t>
      </w:r>
      <w:r w:rsidDel="00000000" w:rsidR="00000000" w:rsidRPr="00000000">
        <w:rPr>
          <w:sz w:val="28"/>
          <w:szCs w:val="28"/>
          <w:rtl w:val="0"/>
        </w:rPr>
        <w:t xml:space="preserve">EMBLEM Study, St. Mary's Hospital Lacor, Gulu, Uganda.</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vertAlign w:val="superscript"/>
          <w:rtl w:val="0"/>
        </w:rPr>
        <w:t xml:space="preserve">24</w:t>
      </w:r>
      <w:r w:rsidDel="00000000" w:rsidR="00000000" w:rsidRPr="00000000">
        <w:rPr>
          <w:sz w:val="28"/>
          <w:szCs w:val="28"/>
          <w:rtl w:val="0"/>
        </w:rPr>
        <w:t xml:space="preserve">Department of Clinical Pathology, Robert-Bosch-Krankenhaus and Dr. Margarete Fischer-Bosch Institute of Clinical Pharmacology, Department of Clinical Pathology, Stuttgart, Germany.</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vertAlign w:val="superscript"/>
          <w:rtl w:val="0"/>
        </w:rPr>
        <w:t xml:space="preserve">25</w:t>
      </w:r>
      <w:r w:rsidDel="00000000" w:rsidR="00000000" w:rsidRPr="00000000">
        <w:rPr>
          <w:sz w:val="28"/>
          <w:szCs w:val="28"/>
          <w:rtl w:val="0"/>
        </w:rPr>
        <w:t xml:space="preserve">Division of Intramural Research, National Institute of Allergy and Infectious Diseases, National Institutes of Health, Bethesda, MD, USA.</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vertAlign w:val="superscript"/>
          <w:rtl w:val="0"/>
        </w:rPr>
        <w:t xml:space="preserve">26</w:t>
      </w:r>
      <w:r w:rsidDel="00000000" w:rsidR="00000000" w:rsidRPr="00000000">
        <w:rPr>
          <w:sz w:val="28"/>
          <w:szCs w:val="28"/>
          <w:rtl w:val="0"/>
        </w:rPr>
        <w:t xml:space="preserve">Division of Hematopathology, University of Pittsburgh School of Medicine, Pittsburgh, Pennsylvania, USA.</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vertAlign w:val="superscript"/>
          <w:rtl w:val="0"/>
        </w:rPr>
        <w:t xml:space="preserve">27</w:t>
      </w:r>
      <w:r w:rsidDel="00000000" w:rsidR="00000000" w:rsidRPr="00000000">
        <w:rPr>
          <w:sz w:val="28"/>
          <w:szCs w:val="28"/>
          <w:rtl w:val="0"/>
        </w:rPr>
        <w:t xml:space="preserve">Hospices Civils de Lyon, Université Lyon 1, Service d'Anatomie Pathologique, Hopital Lyon Sud France.</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vertAlign w:val="superscript"/>
          <w:rtl w:val="0"/>
        </w:rPr>
        <w:t xml:space="preserve">28</w:t>
      </w:r>
      <w:r w:rsidDel="00000000" w:rsidR="00000000" w:rsidRPr="00000000">
        <w:rPr>
          <w:sz w:val="28"/>
          <w:szCs w:val="28"/>
          <w:rtl w:val="0"/>
        </w:rPr>
        <w:t xml:space="preserve">Lymphoid Malignancies Branch, Center for Cancer Research, National Cancer Institute, Bethesda, MD, USA.</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vertAlign w:val="superscript"/>
          <w:rtl w:val="0"/>
        </w:rPr>
        <w:t xml:space="preserve">29</w:t>
      </w:r>
      <w:r w:rsidDel="00000000" w:rsidR="00000000" w:rsidRPr="00000000">
        <w:rPr>
          <w:sz w:val="28"/>
          <w:szCs w:val="28"/>
          <w:rtl w:val="0"/>
        </w:rPr>
        <w:t xml:space="preserve">Department of Medical Genetics, University of British Columbia, Vancouver, BC, Canada.</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firstLine="720"/>
        <w:rPr>
          <w:sz w:val="28"/>
          <w:szCs w:val="28"/>
        </w:rPr>
      </w:pPr>
      <w:r w:rsidDel="00000000" w:rsidR="00000000" w:rsidRPr="00000000">
        <w:rPr>
          <w:i w:val="1"/>
          <w:sz w:val="28"/>
          <w:szCs w:val="28"/>
          <w:rtl w:val="0"/>
        </w:rPr>
        <w:t xml:space="preserve">Introduction:</w:t>
      </w:r>
      <w:r w:rsidDel="00000000" w:rsidR="00000000" w:rsidRPr="00000000">
        <w:rPr>
          <w:sz w:val="28"/>
          <w:szCs w:val="28"/>
          <w:rtl w:val="0"/>
        </w:rPr>
        <w:t xml:space="preserve"> </w:t>
      </w:r>
      <w:r w:rsidDel="00000000" w:rsidR="00000000" w:rsidRPr="00000000">
        <w:rPr>
          <w:sz w:val="28"/>
          <w:szCs w:val="28"/>
          <w:rtl w:val="0"/>
        </w:rPr>
        <w:t xml:space="preserve">Burkitt lymphoma (BL) accounts for approximately 50% of all pediatric non-Hodgkin lymphomas compared to 1-2% in adults. Adult BL (aBL) remains a poorly understood entity and its relationship to pediatric BL (pBL) and to DLBCL has not been fully elucidated. The variable treatment outcomes between these entities necessitate a more thorough understanding of the genetic and molecular features underlying their biology to enable better prognostication and more effective treatments. We sought to comprehensively </w:t>
      </w:r>
      <w:r w:rsidDel="00000000" w:rsidR="00000000" w:rsidRPr="00000000">
        <w:rPr>
          <w:sz w:val="28"/>
          <w:szCs w:val="28"/>
          <w:rtl w:val="0"/>
        </w:rPr>
        <w:t xml:space="preserve">determine genetic features shared with DLBCL and those that are unique to BL, to further delineate genetic subgroupings within each entity.</w:t>
      </w:r>
      <w:r w:rsidDel="00000000" w:rsidR="00000000" w:rsidRPr="00000000">
        <w:rPr>
          <w:rtl w:val="0"/>
        </w:rPr>
      </w:r>
    </w:p>
    <w:p w:rsidR="00000000" w:rsidDel="00000000" w:rsidP="00000000" w:rsidRDefault="00000000" w:rsidRPr="00000000" w14:paraId="0000003F">
      <w:pPr>
        <w:ind w:firstLine="720"/>
        <w:rPr>
          <w:sz w:val="28"/>
          <w:szCs w:val="28"/>
        </w:rPr>
      </w:pPr>
      <w:r w:rsidDel="00000000" w:rsidR="00000000" w:rsidRPr="00000000">
        <w:rPr>
          <w:i w:val="1"/>
          <w:sz w:val="28"/>
          <w:szCs w:val="28"/>
          <w:rtl w:val="0"/>
        </w:rPr>
        <w:t xml:space="preserve">Methods:</w:t>
      </w:r>
      <w:r w:rsidDel="00000000" w:rsidR="00000000" w:rsidRPr="00000000">
        <w:rPr>
          <w:sz w:val="28"/>
          <w:szCs w:val="28"/>
          <w:rtl w:val="0"/>
        </w:rPr>
        <w:t xml:space="preserve"> Samples for this study were collected through the Burkitt Lymphoma Genome Sequencing Project (BLGSP). We sequenced the tumor genomes of 139 pBL and 92 aBL, consisting of both EBV-positive (EBV+) and EBV-negative (EBV-) BLs, and compared these to the genomes of 252 DLBCL patients. All cases were analyzed for simple somatic mutations (SSM), recurrent copy number variations (CNV), structural variations (SV), aberrant somatic hypermutation (aSHM), and SSM hotspots. Mutations were used as features for the identification of genetic subgroups using non-negative matrix factorization (NMF) clustering. </w:t>
      </w:r>
    </w:p>
    <w:p w:rsidR="00000000" w:rsidDel="00000000" w:rsidP="00000000" w:rsidRDefault="00000000" w:rsidRPr="00000000" w14:paraId="00000040">
      <w:pPr>
        <w:ind w:firstLine="720"/>
        <w:rPr>
          <w:sz w:val="28"/>
          <w:szCs w:val="28"/>
        </w:rPr>
      </w:pPr>
      <w:r w:rsidDel="00000000" w:rsidR="00000000" w:rsidRPr="00000000">
        <w:rPr>
          <w:i w:val="1"/>
          <w:sz w:val="28"/>
          <w:szCs w:val="28"/>
          <w:rtl w:val="0"/>
        </w:rPr>
        <w:t xml:space="preserve">Results: </w:t>
      </w:r>
      <w:r w:rsidDel="00000000" w:rsidR="00000000" w:rsidRPr="00000000">
        <w:rPr>
          <w:sz w:val="28"/>
          <w:szCs w:val="28"/>
          <w:rtl w:val="0"/>
        </w:rPr>
        <w:t xml:space="preserve">Clustering of BL and DLBCL revealed six distinct genetic subgroups (Figure 1) with three </w:t>
      </w:r>
      <w:r w:rsidDel="00000000" w:rsidR="00000000" w:rsidRPr="00000000">
        <w:rPr>
          <w:sz w:val="28"/>
          <w:szCs w:val="28"/>
          <w:rtl w:val="0"/>
        </w:rPr>
        <w:t xml:space="preserve">primarily</w:t>
      </w:r>
      <w:r w:rsidDel="00000000" w:rsidR="00000000" w:rsidRPr="00000000">
        <w:rPr>
          <w:sz w:val="28"/>
          <w:szCs w:val="28"/>
          <w:rtl w:val="0"/>
        </w:rPr>
        <w:t xml:space="preserve"> representing </w:t>
      </w:r>
      <w:r w:rsidDel="00000000" w:rsidR="00000000" w:rsidRPr="00000000">
        <w:rPr>
          <w:sz w:val="28"/>
          <w:szCs w:val="28"/>
          <w:rtl w:val="0"/>
        </w:rPr>
        <w:t xml:space="preserve">DLBCLs</w:t>
      </w:r>
      <w:r w:rsidDel="00000000" w:rsidR="00000000" w:rsidRPr="00000000">
        <w:rPr>
          <w:sz w:val="28"/>
          <w:szCs w:val="28"/>
          <w:rtl w:val="0"/>
        </w:rPr>
        <w:t xml:space="preserve">  (DLBCL-1, DLBCL-2, and DLBCL-3) and three predominantly comprising </w:t>
      </w:r>
      <w:r w:rsidDel="00000000" w:rsidR="00000000" w:rsidRPr="00000000">
        <w:rPr>
          <w:sz w:val="28"/>
          <w:szCs w:val="28"/>
          <w:rtl w:val="0"/>
        </w:rPr>
        <w:t xml:space="preserve">BLs</w:t>
      </w:r>
      <w:r w:rsidDel="00000000" w:rsidR="00000000" w:rsidRPr="00000000">
        <w:rPr>
          <w:sz w:val="28"/>
          <w:szCs w:val="28"/>
          <w:rtl w:val="0"/>
        </w:rPr>
        <w:t xml:space="preserve"> (M53-BL, IC-BL, and DGG-BL). The DLBCL-predominant subgroups partially overlapped with those previously described and resembled features of EZB and ST2-like subgroups. The frequency of aBLs within these subgroups was higher than that of pBL patients (</w:t>
      </w:r>
      <w:r w:rsidDel="00000000" w:rsidR="00000000" w:rsidRPr="00000000">
        <w:rPr>
          <w:i w:val="1"/>
          <w:sz w:val="28"/>
          <w:szCs w:val="28"/>
          <w:rtl w:val="0"/>
        </w:rPr>
        <w:t xml:space="preserve">p</w:t>
      </w:r>
      <w:r w:rsidDel="00000000" w:rsidR="00000000" w:rsidRPr="00000000">
        <w:rPr>
          <w:sz w:val="28"/>
          <w:szCs w:val="28"/>
          <w:rtl w:val="0"/>
        </w:rPr>
        <w:t xml:space="preserve">=0.0005). The new cluster M53-BL consists of both pBL (9/27) and aBL (13/27) samples and is characterized by the highest prevalence of mutations in </w:t>
      </w:r>
      <w:r w:rsidDel="00000000" w:rsidR="00000000" w:rsidRPr="00000000">
        <w:rPr>
          <w:i w:val="1"/>
          <w:sz w:val="28"/>
          <w:szCs w:val="28"/>
          <w:rtl w:val="0"/>
        </w:rPr>
        <w:t xml:space="preserve">TP53</w:t>
      </w:r>
      <w:r w:rsidDel="00000000" w:rsidR="00000000" w:rsidRPr="00000000">
        <w:rPr>
          <w:sz w:val="28"/>
          <w:szCs w:val="28"/>
          <w:rtl w:val="0"/>
        </w:rPr>
        <w:t xml:space="preserve"> accompanied by the paucity</w:t>
      </w:r>
      <w:r w:rsidDel="00000000" w:rsidR="00000000" w:rsidRPr="00000000">
        <w:rPr>
          <w:sz w:val="28"/>
          <w:szCs w:val="28"/>
          <w:rtl w:val="0"/>
        </w:rPr>
        <w:t xml:space="preserve"> of other</w:t>
      </w:r>
      <w:r w:rsidDel="00000000" w:rsidR="00000000" w:rsidRPr="00000000">
        <w:rPr>
          <w:sz w:val="28"/>
          <w:szCs w:val="28"/>
          <w:rtl w:val="0"/>
        </w:rPr>
        <w:t xml:space="preserve"> driver mutations but without the aneuploidy associated with the A53 subgroup described in DLBCL. Enrichment of EBV- samples in this cluster further </w:t>
      </w:r>
      <w:r w:rsidDel="00000000" w:rsidR="00000000" w:rsidRPr="00000000">
        <w:rPr>
          <w:sz w:val="28"/>
          <w:szCs w:val="28"/>
          <w:rtl w:val="0"/>
        </w:rPr>
        <w:t xml:space="preserve">corroborate our previous findings of</w:t>
      </w:r>
      <w:r w:rsidDel="00000000" w:rsidR="00000000" w:rsidRPr="00000000">
        <w:rPr>
          <w:sz w:val="28"/>
          <w:szCs w:val="28"/>
          <w:rtl w:val="0"/>
        </w:rPr>
        <w:t xml:space="preserve"> </w:t>
      </w:r>
      <w:r w:rsidDel="00000000" w:rsidR="00000000" w:rsidRPr="00000000">
        <w:rPr>
          <w:i w:val="1"/>
          <w:sz w:val="28"/>
          <w:szCs w:val="28"/>
          <w:rtl w:val="0"/>
        </w:rPr>
        <w:t xml:space="preserve">TP53</w:t>
      </w:r>
      <w:r w:rsidDel="00000000" w:rsidR="00000000" w:rsidRPr="00000000">
        <w:rPr>
          <w:sz w:val="28"/>
          <w:szCs w:val="28"/>
          <w:rtl w:val="0"/>
        </w:rPr>
        <w:t xml:space="preserve"> mutations being associated with EBV- BL. IC-BL is characterized by mutations in </w:t>
      </w:r>
      <w:r w:rsidDel="00000000" w:rsidR="00000000" w:rsidRPr="00000000">
        <w:rPr>
          <w:i w:val="1"/>
          <w:sz w:val="28"/>
          <w:szCs w:val="28"/>
          <w:rtl w:val="0"/>
        </w:rPr>
        <w:t xml:space="preserve">ID3</w:t>
      </w:r>
      <w:r w:rsidDel="00000000" w:rsidR="00000000" w:rsidRPr="00000000">
        <w:rPr>
          <w:sz w:val="28"/>
          <w:szCs w:val="28"/>
          <w:rtl w:val="0"/>
        </w:rPr>
        <w:t xml:space="preserve">, </w:t>
      </w:r>
      <w:r w:rsidDel="00000000" w:rsidR="00000000" w:rsidRPr="00000000">
        <w:rPr>
          <w:i w:val="1"/>
          <w:sz w:val="28"/>
          <w:szCs w:val="28"/>
          <w:rtl w:val="0"/>
        </w:rPr>
        <w:t xml:space="preserve">CCND3</w:t>
      </w:r>
      <w:r w:rsidDel="00000000" w:rsidR="00000000" w:rsidRPr="00000000">
        <w:rPr>
          <w:sz w:val="28"/>
          <w:szCs w:val="28"/>
          <w:rtl w:val="0"/>
        </w:rPr>
        <w:t xml:space="preserve">, and </w:t>
      </w:r>
      <w:r w:rsidDel="00000000" w:rsidR="00000000" w:rsidRPr="00000000">
        <w:rPr>
          <w:i w:val="1"/>
          <w:sz w:val="28"/>
          <w:szCs w:val="28"/>
          <w:rtl w:val="0"/>
        </w:rPr>
        <w:t xml:space="preserve">SMARCA4</w:t>
      </w:r>
      <w:r w:rsidDel="00000000" w:rsidR="00000000" w:rsidRPr="00000000">
        <w:rPr>
          <w:sz w:val="28"/>
          <w:szCs w:val="28"/>
          <w:rtl w:val="0"/>
        </w:rPr>
        <w:t xml:space="preserve">.</w:t>
      </w:r>
      <w:r w:rsidDel="00000000" w:rsidR="00000000" w:rsidRPr="00000000">
        <w:rPr>
          <w:sz w:val="28"/>
          <w:szCs w:val="28"/>
          <w:rtl w:val="0"/>
        </w:rPr>
        <w:t xml:space="preserve"> In contrast, </w:t>
      </w:r>
      <w:r w:rsidDel="00000000" w:rsidR="00000000" w:rsidRPr="00000000">
        <w:rPr>
          <w:sz w:val="28"/>
          <w:szCs w:val="28"/>
          <w:rtl w:val="0"/>
        </w:rPr>
        <w:t xml:space="preserve">DGG-BL, where 65% of the cluster </w:t>
      </w:r>
      <w:r w:rsidDel="00000000" w:rsidR="00000000" w:rsidRPr="00000000">
        <w:rPr>
          <w:sz w:val="28"/>
          <w:szCs w:val="28"/>
          <w:rtl w:val="0"/>
        </w:rPr>
        <w:t xml:space="preserve">consisted of EBV+ BL samples, had mutations in </w:t>
      </w:r>
      <w:r w:rsidDel="00000000" w:rsidR="00000000" w:rsidRPr="00000000">
        <w:rPr>
          <w:i w:val="1"/>
          <w:sz w:val="28"/>
          <w:szCs w:val="28"/>
          <w:rtl w:val="0"/>
        </w:rPr>
        <w:t xml:space="preserve">DDX3X</w:t>
      </w:r>
      <w:r w:rsidDel="00000000" w:rsidR="00000000" w:rsidRPr="00000000">
        <w:rPr>
          <w:sz w:val="28"/>
          <w:szCs w:val="28"/>
          <w:rtl w:val="0"/>
        </w:rPr>
        <w:t xml:space="preserve">, </w:t>
      </w:r>
      <w:r w:rsidDel="00000000" w:rsidR="00000000" w:rsidRPr="00000000">
        <w:rPr>
          <w:i w:val="1"/>
          <w:sz w:val="28"/>
          <w:szCs w:val="28"/>
          <w:rtl w:val="0"/>
        </w:rPr>
        <w:t xml:space="preserve">GNA13</w:t>
      </w:r>
      <w:r w:rsidDel="00000000" w:rsidR="00000000" w:rsidRPr="00000000">
        <w:rPr>
          <w:sz w:val="28"/>
          <w:szCs w:val="28"/>
          <w:rtl w:val="0"/>
        </w:rPr>
        <w:t xml:space="preserve">, and </w:t>
      </w:r>
      <w:r w:rsidDel="00000000" w:rsidR="00000000" w:rsidRPr="00000000">
        <w:rPr>
          <w:i w:val="1"/>
          <w:sz w:val="28"/>
          <w:szCs w:val="28"/>
          <w:rtl w:val="0"/>
        </w:rPr>
        <w:t xml:space="preserve">GNAI2</w:t>
      </w:r>
      <w:r w:rsidDel="00000000" w:rsidR="00000000" w:rsidRPr="00000000">
        <w:rPr>
          <w:sz w:val="28"/>
          <w:szCs w:val="28"/>
          <w:rtl w:val="0"/>
        </w:rPr>
        <w:t xml:space="preserve">. Using a linear model, we compared the rates of aSHM in BL genomes from all clusters and identified the DLBCL-3 cluster to harbor the highest aSHM rates at common sites while the M53-BL cluster harbored the lowest rates. To further establish the biological basis of unique clusters within BL, we conducted differential gene expression analyses between the two major BL genetic subgroups, DGG-BL and IC-BL. We identified a total of 86 differentially expressed genes between the two clusters (p.adj &lt; 0.01 and |log2foldChange| &gt; 1). Among the genes with the strongest differential expression were </w:t>
      </w:r>
      <w:r w:rsidDel="00000000" w:rsidR="00000000" w:rsidRPr="00000000">
        <w:rPr>
          <w:i w:val="1"/>
          <w:sz w:val="28"/>
          <w:szCs w:val="28"/>
          <w:rtl w:val="0"/>
        </w:rPr>
        <w:t xml:space="preserve">IRF4</w:t>
      </w:r>
      <w:r w:rsidDel="00000000" w:rsidR="00000000" w:rsidRPr="00000000">
        <w:rPr>
          <w:sz w:val="28"/>
          <w:szCs w:val="28"/>
          <w:rtl w:val="0"/>
        </w:rPr>
        <w:t xml:space="preserve">, </w:t>
      </w:r>
      <w:r w:rsidDel="00000000" w:rsidR="00000000" w:rsidRPr="00000000">
        <w:rPr>
          <w:i w:val="1"/>
          <w:sz w:val="28"/>
          <w:szCs w:val="28"/>
          <w:rtl w:val="0"/>
        </w:rPr>
        <w:t xml:space="preserve">SERPINA9</w:t>
      </w:r>
      <w:r w:rsidDel="00000000" w:rsidR="00000000" w:rsidRPr="00000000">
        <w:rPr>
          <w:sz w:val="28"/>
          <w:szCs w:val="28"/>
          <w:rtl w:val="0"/>
        </w:rPr>
        <w:t xml:space="preserve">, and </w:t>
      </w:r>
      <w:r w:rsidDel="00000000" w:rsidR="00000000" w:rsidRPr="00000000">
        <w:rPr>
          <w:i w:val="1"/>
          <w:sz w:val="28"/>
          <w:szCs w:val="28"/>
          <w:rtl w:val="0"/>
        </w:rPr>
        <w:t xml:space="preserve">TNFRSF13B. </w:t>
      </w:r>
      <w:r w:rsidDel="00000000" w:rsidR="00000000" w:rsidRPr="00000000">
        <w:rPr>
          <w:sz w:val="28"/>
          <w:szCs w:val="28"/>
          <w:rtl w:val="0"/>
        </w:rPr>
        <w:t xml:space="preserve">Each of these are notable as their expression is a component of the DLBCL cell-of-origin</w:t>
      </w:r>
      <w:r w:rsidDel="00000000" w:rsidR="00000000" w:rsidRPr="00000000">
        <w:rPr>
          <w:sz w:val="28"/>
          <w:szCs w:val="28"/>
          <w:rtl w:val="0"/>
        </w:rPr>
        <w:t xml:space="preserve"> and double-hit signature classifiers.</w:t>
      </w:r>
      <w:r w:rsidDel="00000000" w:rsidR="00000000" w:rsidRPr="00000000">
        <w:rPr>
          <w:sz w:val="28"/>
          <w:szCs w:val="28"/>
          <w:rtl w:val="0"/>
        </w:rPr>
        <w:t xml:space="preserve"> Further, we found </w:t>
      </w:r>
      <w:r w:rsidDel="00000000" w:rsidR="00000000" w:rsidRPr="00000000">
        <w:rPr>
          <w:i w:val="1"/>
          <w:sz w:val="28"/>
          <w:szCs w:val="28"/>
          <w:rtl w:val="0"/>
        </w:rPr>
        <w:t xml:space="preserve">IRF4</w:t>
      </w:r>
      <w:r w:rsidDel="00000000" w:rsidR="00000000" w:rsidRPr="00000000">
        <w:rPr>
          <w:sz w:val="28"/>
          <w:szCs w:val="28"/>
          <w:rtl w:val="0"/>
        </w:rPr>
        <w:t xml:space="preserve"> expression to be one of the strongest predictors of cluster membership, with high </w:t>
      </w:r>
      <w:r w:rsidDel="00000000" w:rsidR="00000000" w:rsidRPr="00000000">
        <w:rPr>
          <w:i w:val="1"/>
          <w:sz w:val="28"/>
          <w:szCs w:val="28"/>
          <w:rtl w:val="0"/>
        </w:rPr>
        <w:t xml:space="preserve">IRF4</w:t>
      </w:r>
      <w:r w:rsidDel="00000000" w:rsidR="00000000" w:rsidRPr="00000000">
        <w:rPr>
          <w:sz w:val="28"/>
          <w:szCs w:val="28"/>
          <w:rtl w:val="0"/>
        </w:rPr>
        <w:t xml:space="preserve"> expression associated with IC-BL membership. Using TP53 and ID3 mutations as a proxy for M53-BL and IC-BL clusters </w:t>
      </w:r>
      <w:r w:rsidDel="00000000" w:rsidR="00000000" w:rsidRPr="00000000">
        <w:rPr>
          <w:sz w:val="28"/>
          <w:szCs w:val="28"/>
          <w:rtl w:val="0"/>
        </w:rPr>
        <w:t xml:space="preserve">in aBL</w:t>
      </w:r>
      <w:r w:rsidDel="00000000" w:rsidR="00000000" w:rsidRPr="00000000">
        <w:rPr>
          <w:sz w:val="28"/>
          <w:szCs w:val="28"/>
          <w:rtl w:val="0"/>
        </w:rPr>
        <w:t xml:space="preserve">, we found mutations in TP53 to be associated with significantly inferior progression free survival (PFS) at 2 year follow up, while mutations in ID3 were associated with overall better PFS at 2 year follow up.</w:t>
      </w:r>
    </w:p>
    <w:p w:rsidR="00000000" w:rsidDel="00000000" w:rsidP="00000000" w:rsidRDefault="00000000" w:rsidRPr="00000000" w14:paraId="00000041">
      <w:pPr>
        <w:ind w:firstLine="720"/>
        <w:rPr>
          <w:sz w:val="28"/>
          <w:szCs w:val="28"/>
        </w:rPr>
      </w:pPr>
      <w:r w:rsidDel="00000000" w:rsidR="00000000" w:rsidRPr="00000000">
        <w:rPr>
          <w:i w:val="1"/>
          <w:sz w:val="28"/>
          <w:szCs w:val="28"/>
          <w:rtl w:val="0"/>
        </w:rPr>
        <w:t xml:space="preserve">Conclusion</w:t>
      </w:r>
      <w:r w:rsidDel="00000000" w:rsidR="00000000" w:rsidRPr="00000000">
        <w:rPr>
          <w:sz w:val="28"/>
          <w:szCs w:val="28"/>
          <w:rtl w:val="0"/>
        </w:rPr>
        <w:t xml:space="preserve">: This work identifies novel genetic subgroups within BL with characteristic genetic and gene expression differences and some bearing relationship to DLBCL subgroups. The three subgroups with </w:t>
      </w:r>
      <w:r w:rsidDel="00000000" w:rsidR="00000000" w:rsidRPr="00000000">
        <w:rPr>
          <w:sz w:val="28"/>
          <w:szCs w:val="28"/>
          <w:rtl w:val="0"/>
        </w:rPr>
        <w:t xml:space="preserve">predominantly</w:t>
      </w:r>
      <w:r w:rsidDel="00000000" w:rsidR="00000000" w:rsidRPr="00000000">
        <w:rPr>
          <w:sz w:val="28"/>
          <w:szCs w:val="28"/>
          <w:rtl w:val="0"/>
        </w:rPr>
        <w:t xml:space="preserve"> BL samples (DGG-BL, IC-BL, and M53-BL) each comprised a mixture of aBL and pBL samples, confirming similar molecular features in these entities. The IC-BL cluster is associated with mutations in </w:t>
      </w:r>
      <w:r w:rsidDel="00000000" w:rsidR="00000000" w:rsidRPr="00000000">
        <w:rPr>
          <w:i w:val="1"/>
          <w:sz w:val="28"/>
          <w:szCs w:val="28"/>
          <w:rtl w:val="0"/>
        </w:rPr>
        <w:t xml:space="preserve">ID3</w:t>
      </w:r>
      <w:r w:rsidDel="00000000" w:rsidR="00000000" w:rsidRPr="00000000">
        <w:rPr>
          <w:sz w:val="28"/>
          <w:szCs w:val="28"/>
          <w:rtl w:val="0"/>
        </w:rPr>
        <w:t xml:space="preserve"> and </w:t>
      </w:r>
      <w:r w:rsidDel="00000000" w:rsidR="00000000" w:rsidRPr="00000000">
        <w:rPr>
          <w:i w:val="1"/>
          <w:sz w:val="28"/>
          <w:szCs w:val="28"/>
          <w:rtl w:val="0"/>
        </w:rPr>
        <w:t xml:space="preserve">CCND3</w:t>
      </w:r>
      <w:r w:rsidDel="00000000" w:rsidR="00000000" w:rsidRPr="00000000">
        <w:rPr>
          <w:sz w:val="28"/>
          <w:szCs w:val="28"/>
          <w:rtl w:val="0"/>
        </w:rPr>
        <w:t xml:space="preserve">, high </w:t>
      </w:r>
      <w:r w:rsidDel="00000000" w:rsidR="00000000" w:rsidRPr="00000000">
        <w:rPr>
          <w:i w:val="1"/>
          <w:sz w:val="28"/>
          <w:szCs w:val="28"/>
          <w:rtl w:val="0"/>
        </w:rPr>
        <w:t xml:space="preserve">IRF4</w:t>
      </w:r>
      <w:r w:rsidDel="00000000" w:rsidR="00000000" w:rsidRPr="00000000">
        <w:rPr>
          <w:sz w:val="28"/>
          <w:szCs w:val="28"/>
          <w:rtl w:val="0"/>
        </w:rPr>
        <w:t xml:space="preserve"> expression, and ID3 mutated cases exhibited significantly better outcomes. M53-BL is associated with </w:t>
      </w:r>
      <w:r w:rsidDel="00000000" w:rsidR="00000000" w:rsidRPr="00000000">
        <w:rPr>
          <w:i w:val="1"/>
          <w:sz w:val="28"/>
          <w:szCs w:val="28"/>
          <w:rtl w:val="0"/>
        </w:rPr>
        <w:t xml:space="preserve">TP53 </w:t>
      </w:r>
      <w:r w:rsidDel="00000000" w:rsidR="00000000" w:rsidRPr="00000000">
        <w:rPr>
          <w:sz w:val="28"/>
          <w:szCs w:val="28"/>
          <w:rtl w:val="0"/>
        </w:rPr>
        <w:t xml:space="preserve">mutations and inferior PFS in aBL, representing a subset of patients to be considered for novel treatment approaches. These findings highlight shared pathogenesis between aBL and pBL and establish genetic subtypes within BL that delineate cases with distinct molecular and clinical features. This provides a new framework for new diagnostic and therapeutic strategies.</w:t>
      </w:r>
    </w:p>
    <w:p w:rsidR="00000000" w:rsidDel="00000000" w:rsidP="00000000" w:rsidRDefault="00000000" w:rsidRPr="00000000" w14:paraId="00000042">
      <w:pPr>
        <w:ind w:firstLine="720"/>
        <w:rPr>
          <w:sz w:val="28"/>
          <w:szCs w:val="28"/>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sz w:val="28"/>
          <w:szCs w:val="28"/>
        </w:rPr>
        <w:drawing>
          <wp:inline distB="114300" distT="114300" distL="114300" distR="114300">
            <wp:extent cx="5943600" cy="2501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0" w:firstLine="0"/>
        <w:rPr>
          <w:sz w:val="28"/>
          <w:szCs w:val="28"/>
        </w:rPr>
      </w:pPr>
      <w:r w:rsidDel="00000000" w:rsidR="00000000" w:rsidRPr="00000000">
        <w:rPr>
          <w:sz w:val="28"/>
          <w:szCs w:val="28"/>
          <w:rtl w:val="0"/>
        </w:rPr>
        <w:t xml:space="preserve">Figure 1. Overview of genetic subgroups of Burkitt </w:t>
      </w:r>
      <w:r w:rsidDel="00000000" w:rsidR="00000000" w:rsidRPr="00000000">
        <w:rPr>
          <w:sz w:val="28"/>
          <w:szCs w:val="28"/>
          <w:rtl w:val="0"/>
        </w:rPr>
        <w:t xml:space="preserve">lymphoma</w:t>
      </w:r>
      <w:r w:rsidDel="00000000" w:rsidR="00000000" w:rsidRPr="00000000">
        <w:rPr>
          <w:sz w:val="28"/>
          <w:szCs w:val="28"/>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